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line="360" w:lineRule="auto"/>
        <w:jc w:val="center"/>
        <w:rPr>
          <w:rFonts w:ascii="宋体" w:hAnsi="宋体" w:eastAsia="宋体" w:cs="宋体"/>
          <w:b/>
          <w:bCs/>
          <w:color w:val="auto"/>
          <w:kern w:val="0"/>
          <w:sz w:val="13"/>
          <w:szCs w:val="13"/>
        </w:rPr>
      </w:pPr>
      <w:bookmarkStart w:id="0" w:name="_GoBack"/>
    </w:p>
    <w:p>
      <w:pPr>
        <w:widowControl/>
        <w:spacing w:before="75" w:after="75" w:line="360" w:lineRule="auto"/>
        <w:jc w:val="center"/>
        <w:rPr>
          <w:rFonts w:ascii="宋体" w:hAnsi="宋体" w:eastAsia="宋体" w:cs="宋体"/>
          <w:b/>
          <w:bCs/>
          <w:color w:val="auto"/>
          <w:kern w:val="0"/>
          <w:sz w:val="72"/>
        </w:rPr>
      </w:pPr>
      <w:r>
        <w:rPr>
          <w:rFonts w:hint="eastAsia" w:ascii="宋体" w:hAnsi="宋体" w:eastAsia="宋体" w:cs="宋体"/>
          <w:b/>
          <w:bCs/>
          <w:color w:val="auto"/>
          <w:kern w:val="0"/>
          <w:sz w:val="84"/>
          <w:szCs w:val="84"/>
          <w:lang w:eastAsia="zh-CN"/>
        </w:rPr>
        <w:t>泉州师范学院</w:t>
      </w:r>
    </w:p>
    <w:p>
      <w:pPr>
        <w:pStyle w:val="2"/>
        <w:spacing w:line="360" w:lineRule="auto"/>
        <w:rPr>
          <w:rFonts w:ascii="宋体" w:hAnsi="宋体" w:cs="宋体"/>
          <w:color w:val="auto"/>
        </w:rPr>
      </w:pPr>
    </w:p>
    <w:p>
      <w:pPr>
        <w:widowControl/>
        <w:spacing w:before="75" w:after="75" w:line="360" w:lineRule="auto"/>
        <w:jc w:val="center"/>
        <w:rPr>
          <w:rFonts w:ascii="宋体" w:hAnsi="宋体" w:eastAsia="宋体" w:cs="宋体"/>
          <w:color w:val="auto"/>
          <w:kern w:val="0"/>
          <w:sz w:val="84"/>
          <w:szCs w:val="84"/>
        </w:rPr>
      </w:pPr>
      <w:r>
        <w:rPr>
          <w:rFonts w:hint="eastAsia" w:ascii="宋体" w:hAnsi="宋体" w:eastAsia="宋体" w:cs="宋体"/>
          <w:b/>
          <w:bCs/>
          <w:color w:val="auto"/>
          <w:kern w:val="0"/>
          <w:sz w:val="84"/>
          <w:szCs w:val="84"/>
        </w:rPr>
        <w:t>竞争性谈判文件</w:t>
      </w:r>
    </w:p>
    <w:p>
      <w:pPr>
        <w:widowControl/>
        <w:spacing w:before="75" w:after="75"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widowControl/>
        <w:spacing w:before="75" w:after="75" w:line="360" w:lineRule="auto"/>
        <w:jc w:val="left"/>
        <w:rPr>
          <w:rFonts w:ascii="宋体" w:hAnsi="宋体" w:eastAsia="宋体" w:cs="宋体"/>
          <w:color w:val="auto"/>
          <w:kern w:val="0"/>
          <w:sz w:val="24"/>
          <w:szCs w:val="24"/>
        </w:rPr>
      </w:pPr>
      <w:r>
        <w:rPr>
          <w:rFonts w:hint="eastAsia" w:ascii="宋体" w:hAnsi="宋体" w:eastAsia="宋体" w:cs="宋体"/>
          <w:b/>
          <w:bCs/>
          <w:color w:val="auto"/>
          <w:kern w:val="0"/>
          <w:sz w:val="24"/>
          <w:szCs w:val="24"/>
        </w:rPr>
        <w:t> </w:t>
      </w:r>
    </w:p>
    <w:p>
      <w:pPr>
        <w:widowControl/>
        <w:spacing w:before="75" w:after="75" w:line="360" w:lineRule="auto"/>
        <w:jc w:val="left"/>
        <w:rPr>
          <w:rFonts w:ascii="宋体" w:hAnsi="宋体" w:eastAsia="宋体" w:cs="宋体"/>
          <w:b/>
          <w:bCs/>
          <w:color w:val="auto"/>
          <w:kern w:val="0"/>
          <w:sz w:val="24"/>
          <w:szCs w:val="24"/>
        </w:rPr>
      </w:pPr>
      <w:r>
        <w:rPr>
          <w:rFonts w:hint="eastAsia" w:ascii="宋体" w:hAnsi="宋体" w:eastAsia="宋体" w:cs="宋体"/>
          <w:color w:val="auto"/>
          <w:kern w:val="0"/>
          <w:sz w:val="24"/>
          <w:szCs w:val="24"/>
        </w:rPr>
        <w:t> </w:t>
      </w:r>
    </w:p>
    <w:p>
      <w:pPr>
        <w:widowControl/>
        <w:spacing w:before="75" w:after="75" w:line="360" w:lineRule="auto"/>
        <w:jc w:val="left"/>
        <w:rPr>
          <w:rFonts w:ascii="宋体" w:hAnsi="宋体" w:eastAsia="宋体" w:cs="宋体"/>
          <w:b/>
          <w:bCs/>
          <w:color w:val="auto"/>
          <w:kern w:val="0"/>
          <w:sz w:val="24"/>
          <w:szCs w:val="24"/>
        </w:rPr>
      </w:pPr>
    </w:p>
    <w:p>
      <w:pPr>
        <w:widowControl/>
        <w:spacing w:before="75" w:after="75"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spacing w:line="360" w:lineRule="auto"/>
        <w:jc w:val="center"/>
        <w:rPr>
          <w:rFonts w:hint="eastAsia" w:ascii="宋体" w:hAnsi="宋体" w:eastAsia="宋体" w:cs="宋体"/>
          <w:b/>
          <w:bCs/>
          <w:color w:val="auto"/>
          <w:kern w:val="0"/>
          <w:sz w:val="36"/>
          <w:szCs w:val="36"/>
          <w:lang w:eastAsia="zh-CN"/>
        </w:rPr>
      </w:pPr>
      <w:r>
        <w:rPr>
          <w:rFonts w:hint="eastAsia" w:ascii="宋体" w:hAnsi="宋体" w:eastAsia="宋体" w:cs="宋体"/>
          <w:b/>
          <w:bCs/>
          <w:color w:val="auto"/>
          <w:kern w:val="0"/>
          <w:sz w:val="36"/>
          <w:szCs w:val="36"/>
        </w:rPr>
        <w:t>项目名称：</w:t>
      </w:r>
      <w:r>
        <w:rPr>
          <w:rFonts w:hint="eastAsia" w:ascii="宋体" w:hAnsi="宋体" w:eastAsia="宋体" w:cs="宋体"/>
          <w:b/>
          <w:bCs/>
          <w:color w:val="auto"/>
          <w:kern w:val="0"/>
          <w:sz w:val="36"/>
          <w:szCs w:val="36"/>
          <w:lang w:eastAsia="zh-CN"/>
        </w:rPr>
        <w:t>泉州师范学院宿舍管理中心青年教师</w:t>
      </w:r>
    </w:p>
    <w:p>
      <w:pPr>
        <w:spacing w:line="360" w:lineRule="auto"/>
        <w:jc w:val="center"/>
        <w:rPr>
          <w:rFonts w:hint="eastAsia" w:ascii="宋体" w:hAnsi="宋体" w:eastAsia="宋体" w:cs="宋体"/>
          <w:b/>
          <w:bCs/>
          <w:color w:val="auto"/>
          <w:kern w:val="0"/>
          <w:sz w:val="36"/>
          <w:szCs w:val="36"/>
          <w:lang w:eastAsia="zh-CN"/>
        </w:rPr>
      </w:pPr>
      <w:r>
        <w:rPr>
          <w:rFonts w:hint="eastAsia" w:ascii="宋体" w:hAnsi="宋体" w:eastAsia="宋体" w:cs="宋体"/>
          <w:b/>
          <w:bCs/>
          <w:color w:val="auto"/>
          <w:kern w:val="0"/>
          <w:sz w:val="36"/>
          <w:szCs w:val="36"/>
          <w:lang w:eastAsia="zh-CN"/>
        </w:rPr>
        <w:t>公寓水电管理系统采购项目</w:t>
      </w:r>
    </w:p>
    <w:p>
      <w:pPr>
        <w:pStyle w:val="2"/>
        <w:rPr>
          <w:rFonts w:hint="eastAsia"/>
          <w:color w:val="auto"/>
          <w:lang w:eastAsia="zh-CN"/>
        </w:rPr>
      </w:pPr>
    </w:p>
    <w:p>
      <w:pPr>
        <w:widowControl/>
        <w:spacing w:before="75" w:after="75" w:line="360" w:lineRule="auto"/>
        <w:jc w:val="center"/>
        <w:rPr>
          <w:rFonts w:hint="eastAsia" w:ascii="宋体" w:hAnsi="宋体" w:eastAsia="宋体" w:cs="宋体"/>
          <w:color w:val="auto"/>
          <w:kern w:val="0"/>
          <w:sz w:val="36"/>
          <w:szCs w:val="36"/>
          <w:lang w:val="en-US" w:eastAsia="zh-CN"/>
        </w:rPr>
      </w:pPr>
      <w:r>
        <w:rPr>
          <w:rFonts w:hint="eastAsia" w:ascii="宋体" w:hAnsi="宋体" w:eastAsia="宋体" w:cs="宋体"/>
          <w:b/>
          <w:bCs/>
          <w:color w:val="auto"/>
          <w:kern w:val="0"/>
          <w:sz w:val="36"/>
          <w:szCs w:val="36"/>
        </w:rPr>
        <w:t>项目编号：</w:t>
      </w:r>
      <w:r>
        <w:rPr>
          <w:rFonts w:hint="eastAsia" w:ascii="宋体" w:hAnsi="宋体" w:eastAsia="宋体" w:cs="宋体"/>
          <w:b/>
          <w:bCs/>
          <w:color w:val="auto"/>
          <w:kern w:val="0"/>
          <w:sz w:val="30"/>
          <w:lang w:eastAsia="zh-CN"/>
        </w:rPr>
        <w:t>FJFS2021015-1</w:t>
      </w:r>
    </w:p>
    <w:p>
      <w:pPr>
        <w:widowControl/>
        <w:spacing w:before="75" w:after="75" w:line="360" w:lineRule="auto"/>
        <w:ind w:firstLine="105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widowControl/>
        <w:spacing w:before="75" w:after="75" w:line="360" w:lineRule="auto"/>
        <w:jc w:val="left"/>
        <w:rPr>
          <w:rFonts w:ascii="宋体" w:hAnsi="宋体" w:eastAsia="宋体" w:cs="宋体"/>
          <w:b/>
          <w:bCs/>
          <w:color w:val="auto"/>
          <w:kern w:val="0"/>
          <w:sz w:val="30"/>
        </w:rPr>
      </w:pPr>
      <w:r>
        <w:rPr>
          <w:rFonts w:hint="eastAsia" w:ascii="宋体" w:hAnsi="宋体" w:eastAsia="宋体" w:cs="宋体"/>
          <w:color w:val="auto"/>
          <w:kern w:val="0"/>
          <w:sz w:val="24"/>
          <w:szCs w:val="24"/>
        </w:rPr>
        <w:t> </w:t>
      </w:r>
    </w:p>
    <w:p>
      <w:pPr>
        <w:widowControl/>
        <w:spacing w:before="75" w:after="75" w:line="360" w:lineRule="auto"/>
        <w:jc w:val="center"/>
        <w:rPr>
          <w:rFonts w:ascii="宋体" w:hAnsi="宋体" w:eastAsia="宋体" w:cs="宋体"/>
          <w:b/>
          <w:bCs/>
          <w:color w:val="auto"/>
          <w:kern w:val="0"/>
          <w:sz w:val="30"/>
        </w:rPr>
      </w:pPr>
    </w:p>
    <w:p>
      <w:pPr>
        <w:widowControl/>
        <w:spacing w:before="75" w:after="75" w:line="360" w:lineRule="auto"/>
        <w:jc w:val="center"/>
        <w:rPr>
          <w:rFonts w:hint="eastAsia" w:ascii="宋体" w:hAnsi="宋体" w:eastAsia="宋体" w:cs="宋体"/>
          <w:b/>
          <w:bCs/>
          <w:color w:val="auto"/>
          <w:kern w:val="0"/>
          <w:sz w:val="30"/>
          <w:lang w:eastAsia="zh-CN"/>
        </w:rPr>
      </w:pPr>
      <w:r>
        <w:rPr>
          <w:rFonts w:hint="eastAsia" w:ascii="宋体" w:hAnsi="宋体" w:eastAsia="宋体" w:cs="宋体"/>
          <w:b/>
          <w:bCs/>
          <w:color w:val="auto"/>
          <w:kern w:val="0"/>
          <w:sz w:val="30"/>
        </w:rPr>
        <w:t>采</w:t>
      </w:r>
      <w:r>
        <w:rPr>
          <w:rFonts w:hint="eastAsia" w:ascii="宋体" w:hAnsi="宋体" w:eastAsia="宋体" w:cs="宋体"/>
          <w:b/>
          <w:bCs/>
          <w:color w:val="auto"/>
          <w:kern w:val="0"/>
          <w:sz w:val="30"/>
          <w:lang w:val="en-US" w:eastAsia="zh-CN"/>
        </w:rPr>
        <w:t xml:space="preserve"> </w:t>
      </w:r>
      <w:r>
        <w:rPr>
          <w:rFonts w:hint="eastAsia" w:ascii="宋体" w:hAnsi="宋体" w:eastAsia="宋体" w:cs="宋体"/>
          <w:b/>
          <w:bCs/>
          <w:color w:val="auto"/>
          <w:kern w:val="0"/>
          <w:sz w:val="30"/>
        </w:rPr>
        <w:t>购</w:t>
      </w:r>
      <w:r>
        <w:rPr>
          <w:rFonts w:hint="eastAsia" w:ascii="宋体" w:hAnsi="宋体" w:eastAsia="宋体" w:cs="宋体"/>
          <w:b/>
          <w:bCs/>
          <w:color w:val="auto"/>
          <w:kern w:val="0"/>
          <w:sz w:val="30"/>
          <w:lang w:val="en-US" w:eastAsia="zh-CN"/>
        </w:rPr>
        <w:t xml:space="preserve"> </w:t>
      </w:r>
      <w:r>
        <w:rPr>
          <w:rFonts w:hint="eastAsia" w:ascii="宋体" w:hAnsi="宋体" w:eastAsia="宋体" w:cs="宋体"/>
          <w:b/>
          <w:bCs/>
          <w:color w:val="auto"/>
          <w:kern w:val="0"/>
          <w:sz w:val="30"/>
        </w:rPr>
        <w:t>人：</w:t>
      </w:r>
      <w:r>
        <w:rPr>
          <w:rFonts w:hint="eastAsia" w:ascii="宋体" w:hAnsi="宋体" w:eastAsia="宋体" w:cs="宋体"/>
          <w:b/>
          <w:bCs/>
          <w:color w:val="auto"/>
          <w:sz w:val="32"/>
          <w:szCs w:val="32"/>
          <w:lang w:eastAsia="zh-CN"/>
        </w:rPr>
        <w:t>泉州师范学院</w:t>
      </w:r>
    </w:p>
    <w:p>
      <w:pPr>
        <w:widowControl/>
        <w:spacing w:before="75" w:after="75" w:line="360" w:lineRule="auto"/>
        <w:jc w:val="center"/>
        <w:rPr>
          <w:rFonts w:ascii="宋体" w:hAnsi="宋体" w:eastAsia="宋体" w:cs="宋体"/>
          <w:b/>
          <w:bCs/>
          <w:color w:val="auto"/>
          <w:kern w:val="0"/>
          <w:sz w:val="30"/>
        </w:rPr>
      </w:pPr>
      <w:r>
        <w:rPr>
          <w:rFonts w:hint="eastAsia" w:ascii="宋体" w:hAnsi="宋体" w:eastAsia="宋体" w:cs="宋体"/>
          <w:b/>
          <w:bCs/>
          <w:color w:val="auto"/>
          <w:kern w:val="0"/>
          <w:sz w:val="30"/>
        </w:rPr>
        <w:t>代理机构：福建丰盛项目管理有限公司</w:t>
      </w:r>
    </w:p>
    <w:p>
      <w:pPr>
        <w:widowControl/>
        <w:spacing w:before="75" w:after="75" w:line="360" w:lineRule="auto"/>
        <w:jc w:val="center"/>
        <w:rPr>
          <w:rFonts w:ascii="宋体" w:hAnsi="宋体" w:eastAsia="宋体" w:cs="宋体"/>
          <w:b/>
          <w:bCs/>
          <w:color w:val="auto"/>
          <w:kern w:val="0"/>
          <w:sz w:val="30"/>
        </w:rPr>
      </w:pPr>
    </w:p>
    <w:p>
      <w:pPr>
        <w:widowControl/>
        <w:spacing w:before="75" w:after="75" w:line="360" w:lineRule="auto"/>
        <w:jc w:val="center"/>
        <w:rPr>
          <w:rFonts w:ascii="宋体" w:hAnsi="宋体" w:eastAsia="宋体" w:cs="宋体"/>
          <w:color w:val="auto"/>
          <w:kern w:val="0"/>
          <w:sz w:val="24"/>
          <w:szCs w:val="24"/>
        </w:rPr>
      </w:pPr>
      <w:r>
        <w:rPr>
          <w:rFonts w:hint="eastAsia" w:ascii="宋体" w:hAnsi="宋体" w:eastAsia="宋体" w:cs="宋体"/>
          <w:b/>
          <w:bCs/>
          <w:color w:val="auto"/>
          <w:kern w:val="0"/>
          <w:sz w:val="30"/>
        </w:rPr>
        <w:t> 2021年6月</w:t>
      </w:r>
    </w:p>
    <w:p>
      <w:pPr>
        <w:widowControl/>
        <w:spacing w:before="75" w:after="75" w:line="360" w:lineRule="auto"/>
        <w:jc w:val="left"/>
        <w:rPr>
          <w:rFonts w:ascii="宋体" w:hAnsi="宋体" w:eastAsia="宋体" w:cs="宋体"/>
          <w:color w:val="auto"/>
          <w:kern w:val="0"/>
          <w:sz w:val="24"/>
          <w:szCs w:val="24"/>
        </w:rPr>
        <w:sectPr>
          <w:headerReference r:id="rId3" w:type="default"/>
          <w:pgSz w:w="11906" w:h="16838"/>
          <w:pgMar w:top="1440" w:right="1474" w:bottom="1440" w:left="1474" w:header="851" w:footer="992" w:gutter="0"/>
          <w:pgNumType w:fmt="decimal"/>
          <w:cols w:space="0" w:num="1"/>
          <w:docGrid w:type="lines" w:linePitch="312" w:charSpace="0"/>
        </w:sectPr>
      </w:pPr>
    </w:p>
    <w:p>
      <w:pPr>
        <w:widowControl/>
        <w:spacing w:before="75" w:after="75" w:line="360" w:lineRule="auto"/>
        <w:jc w:val="center"/>
        <w:outlineLvl w:val="0"/>
        <w:rPr>
          <w:rFonts w:hint="eastAsia" w:ascii="宋体" w:hAnsi="宋体" w:eastAsia="宋体" w:cs="宋体"/>
          <w:b/>
          <w:bCs/>
          <w:color w:val="auto"/>
          <w:kern w:val="0"/>
          <w:sz w:val="32"/>
          <w:szCs w:val="32"/>
        </w:rPr>
      </w:pPr>
    </w:p>
    <w:p>
      <w:pPr>
        <w:widowControl/>
        <w:spacing w:before="75" w:after="75" w:line="360" w:lineRule="auto"/>
        <w:jc w:val="center"/>
        <w:outlineLvl w:val="0"/>
        <w:rPr>
          <w:rFonts w:hint="eastAsia" w:ascii="宋体" w:hAnsi="宋体" w:eastAsia="宋体" w:cs="宋体"/>
          <w:b/>
          <w:bCs/>
          <w:color w:val="auto"/>
          <w:kern w:val="0"/>
          <w:sz w:val="32"/>
          <w:szCs w:val="32"/>
        </w:rPr>
      </w:pPr>
    </w:p>
    <w:p>
      <w:pPr>
        <w:widowControl/>
        <w:spacing w:before="75" w:after="75" w:line="360" w:lineRule="auto"/>
        <w:jc w:val="center"/>
        <w:outlineLvl w:val="0"/>
        <w:rPr>
          <w:rFonts w:hint="eastAsia" w:ascii="宋体" w:hAnsi="宋体" w:eastAsia="宋体" w:cs="宋体"/>
          <w:b/>
          <w:bCs/>
          <w:color w:val="auto"/>
          <w:kern w:val="0"/>
          <w:sz w:val="32"/>
          <w:szCs w:val="32"/>
        </w:rPr>
      </w:pPr>
    </w:p>
    <w:p>
      <w:pPr>
        <w:widowControl/>
        <w:spacing w:before="75" w:after="75" w:line="360" w:lineRule="auto"/>
        <w:jc w:val="center"/>
        <w:outlineLvl w:val="0"/>
        <w:rPr>
          <w:rFonts w:hint="eastAsia" w:ascii="宋体" w:hAnsi="宋体" w:eastAsia="宋体" w:cs="宋体"/>
          <w:b/>
          <w:bCs/>
          <w:color w:val="auto"/>
          <w:kern w:val="0"/>
          <w:sz w:val="32"/>
          <w:szCs w:val="32"/>
        </w:rPr>
      </w:pPr>
    </w:p>
    <w:p>
      <w:pPr>
        <w:widowControl/>
        <w:spacing w:before="75" w:after="75" w:line="360" w:lineRule="auto"/>
        <w:jc w:val="center"/>
        <w:outlineLvl w:val="0"/>
        <w:rPr>
          <w:rFonts w:hint="eastAsia" w:ascii="宋体" w:hAnsi="宋体" w:eastAsia="宋体" w:cs="宋体"/>
          <w:b/>
          <w:bCs/>
          <w:color w:val="auto"/>
          <w:kern w:val="0"/>
          <w:sz w:val="32"/>
          <w:szCs w:val="32"/>
        </w:rPr>
      </w:pPr>
    </w:p>
    <w:p>
      <w:pPr>
        <w:widowControl/>
        <w:spacing w:before="75" w:after="75" w:line="360" w:lineRule="auto"/>
        <w:jc w:val="center"/>
        <w:outlineLvl w:val="0"/>
        <w:rPr>
          <w:rFonts w:hint="eastAsia" w:ascii="宋体" w:hAnsi="宋体" w:eastAsia="宋体" w:cs="宋体"/>
          <w:b/>
          <w:bCs/>
          <w:color w:val="auto"/>
          <w:kern w:val="0"/>
          <w:sz w:val="32"/>
          <w:szCs w:val="32"/>
        </w:rPr>
      </w:pPr>
    </w:p>
    <w:p>
      <w:pPr>
        <w:widowControl/>
        <w:spacing w:before="75" w:after="75" w:line="360" w:lineRule="auto"/>
        <w:jc w:val="center"/>
        <w:outlineLvl w:val="0"/>
        <w:rPr>
          <w:rFonts w:hint="eastAsia" w:ascii="宋体" w:hAnsi="宋体" w:eastAsia="宋体" w:cs="宋体"/>
          <w:b/>
          <w:bCs/>
          <w:color w:val="auto"/>
          <w:kern w:val="0"/>
          <w:sz w:val="32"/>
          <w:szCs w:val="32"/>
        </w:rPr>
      </w:pPr>
    </w:p>
    <w:p>
      <w:pPr>
        <w:widowControl/>
        <w:spacing w:before="75" w:after="75" w:line="360" w:lineRule="auto"/>
        <w:jc w:val="center"/>
        <w:outlineLvl w:val="0"/>
        <w:rPr>
          <w:rFonts w:hint="eastAsia" w:ascii="宋体" w:hAnsi="宋体" w:eastAsia="宋体" w:cs="宋体"/>
          <w:b/>
          <w:bCs/>
          <w:color w:val="auto"/>
          <w:kern w:val="0"/>
          <w:sz w:val="32"/>
          <w:szCs w:val="32"/>
        </w:rPr>
      </w:pPr>
    </w:p>
    <w:p>
      <w:pPr>
        <w:widowControl/>
        <w:spacing w:before="75" w:after="75" w:line="360" w:lineRule="auto"/>
        <w:jc w:val="center"/>
        <w:outlineLvl w:val="0"/>
        <w:rPr>
          <w:rFonts w:hint="eastAsia" w:ascii="宋体" w:hAnsi="宋体" w:eastAsia="宋体" w:cs="宋体"/>
          <w:b/>
          <w:bCs/>
          <w:color w:val="auto"/>
          <w:kern w:val="0"/>
          <w:sz w:val="32"/>
          <w:szCs w:val="32"/>
        </w:rPr>
      </w:pPr>
    </w:p>
    <w:p>
      <w:pPr>
        <w:widowControl/>
        <w:spacing w:before="75" w:after="75" w:line="360" w:lineRule="auto"/>
        <w:jc w:val="center"/>
        <w:outlineLvl w:val="0"/>
        <w:rPr>
          <w:rFonts w:hint="eastAsia" w:ascii="宋体" w:hAnsi="宋体" w:eastAsia="宋体" w:cs="宋体"/>
          <w:b/>
          <w:bCs/>
          <w:color w:val="auto"/>
          <w:kern w:val="0"/>
          <w:sz w:val="32"/>
          <w:szCs w:val="32"/>
        </w:rPr>
      </w:pPr>
    </w:p>
    <w:p>
      <w:pPr>
        <w:widowControl/>
        <w:spacing w:before="75" w:after="75" w:line="360" w:lineRule="auto"/>
        <w:jc w:val="center"/>
        <w:outlineLvl w:val="0"/>
        <w:rPr>
          <w:rFonts w:hint="eastAsia" w:ascii="宋体" w:hAnsi="宋体" w:eastAsia="宋体" w:cs="宋体"/>
          <w:b/>
          <w:bCs/>
          <w:color w:val="auto"/>
          <w:kern w:val="0"/>
          <w:sz w:val="32"/>
          <w:szCs w:val="32"/>
        </w:rPr>
      </w:pPr>
    </w:p>
    <w:p>
      <w:pPr>
        <w:widowControl/>
        <w:spacing w:before="75" w:after="75" w:line="360" w:lineRule="auto"/>
        <w:jc w:val="center"/>
        <w:outlineLvl w:val="0"/>
        <w:rPr>
          <w:rFonts w:hint="eastAsia" w:ascii="宋体" w:hAnsi="宋体" w:eastAsia="宋体" w:cs="宋体"/>
          <w:b/>
          <w:bCs/>
          <w:color w:val="auto"/>
          <w:kern w:val="0"/>
          <w:sz w:val="32"/>
          <w:szCs w:val="32"/>
        </w:rPr>
      </w:pPr>
    </w:p>
    <w:p>
      <w:pPr>
        <w:widowControl/>
        <w:spacing w:before="75" w:after="75" w:line="360" w:lineRule="auto"/>
        <w:jc w:val="center"/>
        <w:outlineLvl w:val="0"/>
        <w:rPr>
          <w:rFonts w:hint="eastAsia" w:ascii="宋体" w:hAnsi="宋体" w:eastAsia="宋体" w:cs="宋体"/>
          <w:b/>
          <w:bCs/>
          <w:color w:val="auto"/>
          <w:kern w:val="0"/>
          <w:sz w:val="32"/>
          <w:szCs w:val="32"/>
        </w:rPr>
      </w:pPr>
    </w:p>
    <w:p>
      <w:pPr>
        <w:widowControl/>
        <w:spacing w:before="75" w:after="75" w:line="360" w:lineRule="auto"/>
        <w:jc w:val="center"/>
        <w:outlineLvl w:val="0"/>
        <w:rPr>
          <w:rFonts w:hint="eastAsia" w:ascii="宋体" w:hAnsi="宋体" w:eastAsia="宋体" w:cs="宋体"/>
          <w:b/>
          <w:bCs/>
          <w:color w:val="auto"/>
          <w:kern w:val="0"/>
          <w:sz w:val="32"/>
          <w:szCs w:val="32"/>
        </w:rPr>
      </w:pPr>
    </w:p>
    <w:p>
      <w:pPr>
        <w:widowControl/>
        <w:spacing w:before="75" w:after="75" w:line="360" w:lineRule="auto"/>
        <w:jc w:val="center"/>
        <w:outlineLvl w:val="0"/>
        <w:rPr>
          <w:rFonts w:hint="eastAsia" w:ascii="宋体" w:hAnsi="宋体" w:eastAsia="宋体" w:cs="宋体"/>
          <w:b/>
          <w:bCs/>
          <w:color w:val="auto"/>
          <w:kern w:val="0"/>
          <w:sz w:val="32"/>
          <w:szCs w:val="32"/>
        </w:rPr>
      </w:pPr>
    </w:p>
    <w:p>
      <w:pPr>
        <w:widowControl/>
        <w:spacing w:before="75" w:after="75" w:line="360" w:lineRule="auto"/>
        <w:jc w:val="center"/>
        <w:outlineLvl w:val="0"/>
        <w:rPr>
          <w:rFonts w:hint="eastAsia" w:ascii="宋体" w:hAnsi="宋体" w:eastAsia="宋体" w:cs="宋体"/>
          <w:b/>
          <w:bCs/>
          <w:color w:val="auto"/>
          <w:kern w:val="0"/>
          <w:sz w:val="32"/>
          <w:szCs w:val="32"/>
        </w:rPr>
      </w:pPr>
    </w:p>
    <w:p>
      <w:pPr>
        <w:widowControl/>
        <w:spacing w:before="75" w:after="75" w:line="360" w:lineRule="auto"/>
        <w:jc w:val="center"/>
        <w:outlineLvl w:val="0"/>
        <w:rPr>
          <w:rFonts w:hint="eastAsia" w:ascii="宋体" w:hAnsi="宋体" w:eastAsia="宋体" w:cs="宋体"/>
          <w:b/>
          <w:bCs/>
          <w:color w:val="auto"/>
          <w:kern w:val="0"/>
          <w:sz w:val="32"/>
          <w:szCs w:val="32"/>
        </w:rPr>
      </w:pPr>
    </w:p>
    <w:p>
      <w:pPr>
        <w:widowControl/>
        <w:spacing w:before="75" w:after="75" w:line="360" w:lineRule="auto"/>
        <w:jc w:val="center"/>
        <w:outlineLvl w:val="0"/>
        <w:rPr>
          <w:rFonts w:hint="eastAsia" w:ascii="宋体" w:hAnsi="宋体" w:eastAsia="宋体" w:cs="宋体"/>
          <w:b/>
          <w:bCs/>
          <w:color w:val="auto"/>
          <w:kern w:val="0"/>
          <w:sz w:val="32"/>
          <w:szCs w:val="32"/>
        </w:rPr>
      </w:pPr>
    </w:p>
    <w:p>
      <w:pPr>
        <w:widowControl/>
        <w:spacing w:before="75" w:after="75" w:line="360" w:lineRule="auto"/>
        <w:jc w:val="center"/>
        <w:outlineLvl w:val="0"/>
        <w:rPr>
          <w:rFonts w:hint="eastAsia" w:ascii="宋体" w:hAnsi="宋体" w:eastAsia="宋体" w:cs="宋体"/>
          <w:b/>
          <w:bCs/>
          <w:color w:val="auto"/>
          <w:kern w:val="0"/>
          <w:sz w:val="32"/>
          <w:szCs w:val="32"/>
        </w:rPr>
      </w:pPr>
    </w:p>
    <w:p>
      <w:pPr>
        <w:widowControl/>
        <w:spacing w:before="75" w:after="75" w:line="360" w:lineRule="auto"/>
        <w:jc w:val="center"/>
        <w:outlineLvl w:val="0"/>
        <w:rPr>
          <w:rFonts w:hint="eastAsia" w:ascii="宋体" w:hAnsi="宋体" w:eastAsia="宋体" w:cs="宋体"/>
          <w:b/>
          <w:bCs/>
          <w:color w:val="auto"/>
          <w:kern w:val="0"/>
          <w:sz w:val="32"/>
          <w:szCs w:val="32"/>
        </w:rPr>
      </w:pPr>
    </w:p>
    <w:p>
      <w:pPr>
        <w:widowControl/>
        <w:spacing w:before="75" w:after="75" w:line="360" w:lineRule="auto"/>
        <w:jc w:val="center"/>
        <w:outlineLvl w:val="0"/>
        <w:rPr>
          <w:rFonts w:hint="eastAsia" w:ascii="宋体" w:hAnsi="宋体" w:eastAsia="宋体" w:cs="宋体"/>
          <w:b/>
          <w:bCs/>
          <w:color w:val="auto"/>
          <w:kern w:val="0"/>
          <w:sz w:val="32"/>
          <w:szCs w:val="32"/>
        </w:rPr>
        <w:sectPr>
          <w:footerReference r:id="rId4" w:type="default"/>
          <w:pgSz w:w="11906" w:h="16838"/>
          <w:pgMar w:top="1440" w:right="1803" w:bottom="1440" w:left="1803" w:header="851" w:footer="992" w:gutter="0"/>
          <w:pgNumType w:fmt="decimal" w:start="1"/>
          <w:cols w:space="0" w:num="1"/>
          <w:docGrid w:type="lines" w:linePitch="312" w:charSpace="0"/>
        </w:sectPr>
      </w:pPr>
    </w:p>
    <w:p>
      <w:pPr>
        <w:widowControl/>
        <w:spacing w:before="75" w:after="75" w:line="360" w:lineRule="auto"/>
        <w:jc w:val="center"/>
        <w:outlineLvl w:val="0"/>
        <w:rPr>
          <w:rFonts w:ascii="宋体" w:hAnsi="宋体" w:eastAsia="宋体" w:cs="宋体"/>
          <w:color w:val="auto"/>
          <w:kern w:val="0"/>
          <w:sz w:val="24"/>
          <w:szCs w:val="24"/>
        </w:rPr>
      </w:pPr>
      <w:r>
        <w:rPr>
          <w:rFonts w:hint="eastAsia" w:ascii="宋体" w:hAnsi="宋体" w:eastAsia="宋体" w:cs="宋体"/>
          <w:b/>
          <w:bCs/>
          <w:color w:val="auto"/>
          <w:kern w:val="0"/>
          <w:sz w:val="32"/>
          <w:szCs w:val="32"/>
        </w:rPr>
        <w:t>第一章  采购公告/采购邀请书</w:t>
      </w:r>
    </w:p>
    <w:p>
      <w:pPr>
        <w:widowControl/>
        <w:spacing w:before="75" w:after="75" w:line="360" w:lineRule="auto"/>
        <w:jc w:val="center"/>
        <w:rPr>
          <w:rFonts w:ascii="宋体" w:hAnsi="宋体" w:eastAsia="宋体" w:cs="宋体"/>
          <w:color w:val="auto"/>
          <w:kern w:val="0"/>
          <w:sz w:val="32"/>
          <w:szCs w:val="32"/>
        </w:rPr>
      </w:pPr>
      <w:r>
        <w:rPr>
          <w:rFonts w:hint="eastAsia" w:ascii="宋体" w:hAnsi="宋体" w:eastAsia="宋体" w:cs="宋体"/>
          <w:b/>
          <w:bCs/>
          <w:color w:val="auto"/>
          <w:kern w:val="0"/>
          <w:sz w:val="32"/>
          <w:szCs w:val="32"/>
        </w:rPr>
        <w:t>        </w:t>
      </w:r>
    </w:p>
    <w:p>
      <w:pPr>
        <w:widowControl/>
        <w:spacing w:before="75" w:after="75" w:line="360" w:lineRule="auto"/>
        <w:jc w:val="center"/>
        <w:outlineLvl w:val="1"/>
        <w:rPr>
          <w:rFonts w:ascii="宋体" w:hAnsi="宋体" w:eastAsia="宋体" w:cs="宋体"/>
          <w:color w:val="auto"/>
          <w:kern w:val="0"/>
          <w:sz w:val="32"/>
          <w:szCs w:val="32"/>
        </w:rPr>
      </w:pPr>
      <w:r>
        <w:rPr>
          <w:rFonts w:hint="eastAsia" w:ascii="宋体" w:hAnsi="宋体" w:eastAsia="宋体" w:cs="宋体"/>
          <w:b/>
          <w:bCs/>
          <w:color w:val="auto"/>
          <w:kern w:val="0"/>
          <w:sz w:val="32"/>
          <w:szCs w:val="32"/>
        </w:rPr>
        <w:t>竞争性谈判采购公告</w:t>
      </w:r>
    </w:p>
    <w:p>
      <w:pPr>
        <w:widowControl/>
        <w:spacing w:before="75" w:after="75"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u w:val="single"/>
          <w:lang w:eastAsia="zh-CN"/>
        </w:rPr>
        <w:t>泉州师范学院</w:t>
      </w:r>
      <w:r>
        <w:rPr>
          <w:rFonts w:hint="eastAsia" w:ascii="宋体" w:hAnsi="宋体" w:eastAsia="宋体" w:cs="宋体"/>
          <w:color w:val="auto"/>
          <w:kern w:val="0"/>
          <w:sz w:val="24"/>
          <w:szCs w:val="24"/>
        </w:rPr>
        <w:t>已根据政府采购相关法律法规，经相应程序确定采用</w:t>
      </w:r>
      <w:r>
        <w:rPr>
          <w:rFonts w:hint="eastAsia" w:ascii="宋体" w:hAnsi="宋体" w:eastAsia="宋体" w:cs="宋体"/>
          <w:b/>
          <w:bCs/>
          <w:color w:val="auto"/>
          <w:kern w:val="0"/>
          <w:sz w:val="24"/>
          <w:szCs w:val="24"/>
          <w:u w:val="single"/>
        </w:rPr>
        <w:t>竞争性谈判</w:t>
      </w:r>
      <w:r>
        <w:rPr>
          <w:rFonts w:hint="eastAsia" w:ascii="宋体" w:hAnsi="宋体" w:eastAsia="宋体" w:cs="宋体"/>
          <w:color w:val="auto"/>
          <w:kern w:val="0"/>
          <w:sz w:val="24"/>
          <w:szCs w:val="24"/>
        </w:rPr>
        <w:t>方式组织</w:t>
      </w:r>
      <w:r>
        <w:rPr>
          <w:rFonts w:hint="eastAsia" w:ascii="宋体" w:hAnsi="宋体" w:eastAsia="宋体" w:cs="宋体"/>
          <w:color w:val="auto"/>
          <w:kern w:val="0"/>
          <w:sz w:val="24"/>
          <w:szCs w:val="24"/>
          <w:u w:val="single"/>
          <w:lang w:eastAsia="zh-CN"/>
        </w:rPr>
        <w:t>泉州师范学院宿舍管理中心青年教师公寓水电管理系统采购项目</w:t>
      </w:r>
      <w:r>
        <w:rPr>
          <w:rFonts w:hint="eastAsia" w:ascii="宋体" w:hAnsi="宋体" w:eastAsia="宋体" w:cs="宋体"/>
          <w:color w:val="auto"/>
          <w:kern w:val="0"/>
          <w:sz w:val="24"/>
          <w:szCs w:val="24"/>
        </w:rPr>
        <w:t>（以下简称：“本项目”）的采购活动，现欢迎国内合格的供应商前来参加。本项目由采购人委托</w:t>
      </w:r>
      <w:r>
        <w:rPr>
          <w:rFonts w:hint="eastAsia" w:ascii="宋体" w:hAnsi="宋体" w:eastAsia="宋体" w:cs="宋体"/>
          <w:color w:val="auto"/>
          <w:kern w:val="0"/>
          <w:sz w:val="24"/>
          <w:szCs w:val="24"/>
          <w:u w:val="single"/>
        </w:rPr>
        <w:t>福建丰盛项目管理有限公司</w:t>
      </w:r>
      <w:r>
        <w:rPr>
          <w:rFonts w:hint="eastAsia" w:ascii="宋体" w:hAnsi="宋体" w:eastAsia="宋体" w:cs="宋体"/>
          <w:color w:val="auto"/>
          <w:kern w:val="0"/>
          <w:sz w:val="24"/>
          <w:szCs w:val="24"/>
        </w:rPr>
        <w:t>开展竞争性谈判活动。</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shd w:val="clear" w:color="auto" w:fill="FFFFFF"/>
        </w:rPr>
        <w:t>1.项目名称：</w:t>
      </w:r>
      <w:r>
        <w:rPr>
          <w:rFonts w:hint="eastAsia" w:ascii="宋体" w:hAnsi="宋体" w:eastAsia="宋体" w:cs="宋体"/>
          <w:color w:val="auto"/>
          <w:kern w:val="0"/>
          <w:sz w:val="24"/>
          <w:szCs w:val="24"/>
          <w:shd w:val="clear" w:color="auto" w:fill="FFFFFF"/>
          <w:lang w:eastAsia="zh-CN"/>
        </w:rPr>
        <w:t>泉州师范学院宿管中心青年教师公寓水电管理系统采购项目</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2.项目编号：</w:t>
      </w:r>
      <w:r>
        <w:rPr>
          <w:rFonts w:hint="eastAsia" w:ascii="宋体" w:hAnsi="宋体" w:eastAsia="宋体" w:cs="宋体"/>
          <w:color w:val="auto"/>
          <w:kern w:val="0"/>
          <w:sz w:val="24"/>
          <w:szCs w:val="24"/>
          <w:shd w:val="clear" w:color="auto" w:fill="FFFFFF"/>
          <w:lang w:eastAsia="zh-CN"/>
        </w:rPr>
        <w:t>FJFS2021015-1</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3.采购内容及要求：</w:t>
      </w:r>
    </w:p>
    <w:p>
      <w:pPr>
        <w:keepNext w:val="0"/>
        <w:keepLines w:val="0"/>
        <w:pageBreakBefore w:val="0"/>
        <w:widowControl/>
        <w:kinsoku/>
        <w:wordWrap/>
        <w:overflowPunct/>
        <w:topLinePunct w:val="0"/>
        <w:bidi w:val="0"/>
        <w:snapToGrid/>
        <w:spacing w:before="100" w:beforeAutospacing="1" w:after="100" w:afterAutospacing="1" w:line="360" w:lineRule="auto"/>
        <w:jc w:val="righ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金额单位：人民币元</w:t>
      </w:r>
    </w:p>
    <w:tbl>
      <w:tblPr>
        <w:tblStyle w:val="10"/>
        <w:tblW w:w="827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55"/>
        <w:gridCol w:w="840"/>
        <w:gridCol w:w="2085"/>
        <w:gridCol w:w="885"/>
        <w:gridCol w:w="1425"/>
        <w:gridCol w:w="1380"/>
        <w:gridCol w:w="10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7" w:hRule="atLeast"/>
          <w:tblHeader/>
        </w:trPr>
        <w:tc>
          <w:tcPr>
            <w:tcW w:w="65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b/>
                <w:color w:val="auto"/>
                <w:kern w:val="0"/>
                <w:sz w:val="24"/>
                <w:szCs w:val="24"/>
              </w:rPr>
            </w:pPr>
            <w:r>
              <w:rPr>
                <w:rFonts w:hint="eastAsia" w:ascii="宋体" w:hAnsi="宋体" w:eastAsia="宋体" w:cs="宋体"/>
                <w:b/>
                <w:color w:val="auto"/>
                <w:kern w:val="0"/>
                <w:sz w:val="24"/>
                <w:szCs w:val="24"/>
              </w:rPr>
              <w:t>合同包</w:t>
            </w:r>
          </w:p>
        </w:tc>
        <w:tc>
          <w:tcPr>
            <w:tcW w:w="84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b/>
                <w:color w:val="auto"/>
                <w:kern w:val="0"/>
                <w:sz w:val="24"/>
                <w:szCs w:val="24"/>
              </w:rPr>
            </w:pPr>
            <w:r>
              <w:rPr>
                <w:rFonts w:hint="eastAsia" w:ascii="宋体" w:hAnsi="宋体" w:eastAsia="宋体" w:cs="宋体"/>
                <w:b/>
                <w:color w:val="auto"/>
                <w:kern w:val="0"/>
                <w:sz w:val="24"/>
                <w:szCs w:val="24"/>
              </w:rPr>
              <w:t>品目号</w:t>
            </w:r>
          </w:p>
        </w:tc>
        <w:tc>
          <w:tcPr>
            <w:tcW w:w="208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b/>
                <w:color w:val="auto"/>
                <w:kern w:val="0"/>
                <w:sz w:val="24"/>
                <w:szCs w:val="24"/>
              </w:rPr>
            </w:pPr>
            <w:r>
              <w:rPr>
                <w:rFonts w:hint="eastAsia" w:ascii="宋体" w:hAnsi="宋体" w:eastAsia="宋体" w:cs="宋体"/>
                <w:b/>
                <w:color w:val="auto"/>
                <w:kern w:val="0"/>
                <w:sz w:val="24"/>
                <w:szCs w:val="24"/>
              </w:rPr>
              <w:t>采购标的</w:t>
            </w:r>
          </w:p>
        </w:tc>
        <w:tc>
          <w:tcPr>
            <w:tcW w:w="88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b/>
                <w:color w:val="auto"/>
                <w:kern w:val="0"/>
                <w:sz w:val="24"/>
                <w:szCs w:val="24"/>
              </w:rPr>
            </w:pPr>
            <w:r>
              <w:rPr>
                <w:rFonts w:hint="eastAsia" w:ascii="宋体" w:hAnsi="宋体" w:eastAsia="宋体" w:cs="宋体"/>
                <w:b/>
                <w:color w:val="auto"/>
                <w:kern w:val="0"/>
                <w:sz w:val="24"/>
                <w:szCs w:val="24"/>
              </w:rPr>
              <w:t>数量</w:t>
            </w:r>
          </w:p>
        </w:tc>
        <w:tc>
          <w:tcPr>
            <w:tcW w:w="142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b/>
                <w:color w:val="auto"/>
                <w:kern w:val="0"/>
                <w:sz w:val="24"/>
                <w:szCs w:val="24"/>
              </w:rPr>
            </w:pPr>
            <w:r>
              <w:rPr>
                <w:rFonts w:hint="eastAsia" w:ascii="宋体" w:hAnsi="宋体" w:eastAsia="宋体" w:cs="宋体"/>
                <w:b/>
                <w:color w:val="auto"/>
                <w:kern w:val="0"/>
                <w:sz w:val="24"/>
                <w:szCs w:val="24"/>
              </w:rPr>
              <w:t>品目号预算</w:t>
            </w:r>
          </w:p>
        </w:tc>
        <w:tc>
          <w:tcPr>
            <w:tcW w:w="138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b/>
                <w:color w:val="auto"/>
                <w:kern w:val="0"/>
                <w:sz w:val="24"/>
                <w:szCs w:val="24"/>
              </w:rPr>
            </w:pPr>
            <w:r>
              <w:rPr>
                <w:rFonts w:hint="eastAsia" w:ascii="宋体" w:hAnsi="宋体" w:eastAsia="宋体" w:cs="宋体"/>
                <w:b/>
                <w:color w:val="auto"/>
                <w:kern w:val="0"/>
                <w:sz w:val="24"/>
                <w:szCs w:val="24"/>
              </w:rPr>
              <w:t>合同包预算</w:t>
            </w:r>
          </w:p>
        </w:tc>
        <w:tc>
          <w:tcPr>
            <w:tcW w:w="100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b/>
                <w:color w:val="auto"/>
                <w:kern w:val="0"/>
                <w:sz w:val="24"/>
                <w:szCs w:val="24"/>
              </w:rPr>
            </w:pPr>
            <w:r>
              <w:rPr>
                <w:rFonts w:hint="eastAsia" w:ascii="宋体" w:hAnsi="宋体" w:eastAsia="宋体" w:cs="宋体"/>
                <w:b/>
                <w:color w:val="auto"/>
                <w:kern w:val="0"/>
                <w:sz w:val="24"/>
                <w:szCs w:val="24"/>
              </w:rPr>
              <w:t>谈判</w:t>
            </w:r>
          </w:p>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b/>
                <w:color w:val="auto"/>
                <w:kern w:val="0"/>
                <w:sz w:val="24"/>
                <w:szCs w:val="24"/>
              </w:rPr>
            </w:pPr>
            <w:r>
              <w:rPr>
                <w:rFonts w:hint="eastAsia" w:ascii="宋体" w:hAnsi="宋体" w:eastAsia="宋体" w:cs="宋体"/>
                <w:b/>
                <w:color w:val="auto"/>
                <w:kern w:val="0"/>
                <w:sz w:val="24"/>
                <w:szCs w:val="24"/>
              </w:rPr>
              <w:t>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3" w:hRule="atLeast"/>
          <w:tblHeader/>
        </w:trPr>
        <w:tc>
          <w:tcPr>
            <w:tcW w:w="655" w:type="dxa"/>
            <w:tcBorders>
              <w:top w:val="outset" w:color="auto" w:sz="6" w:space="0"/>
              <w:left w:val="outset" w:color="auto" w:sz="6" w:space="0"/>
              <w:right w:val="outset" w:color="auto" w:sz="6" w:space="0"/>
            </w:tcBorders>
            <w:vAlign w:val="center"/>
          </w:tcPr>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4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208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lang w:eastAsia="zh-CN"/>
              </w:rPr>
              <w:t>水电管理系统</w:t>
            </w:r>
          </w:p>
        </w:tc>
        <w:tc>
          <w:tcPr>
            <w:tcW w:w="88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bCs/>
                <w:color w:val="auto"/>
                <w:kern w:val="0"/>
                <w:sz w:val="24"/>
                <w:szCs w:val="24"/>
              </w:rPr>
            </w:pPr>
            <w:r>
              <w:rPr>
                <w:rFonts w:hint="eastAsia" w:ascii="宋体" w:hAnsi="宋体" w:eastAsia="宋体" w:cs="宋体"/>
                <w:bCs/>
                <w:color w:val="auto"/>
                <w:kern w:val="0"/>
                <w:sz w:val="24"/>
                <w:szCs w:val="24"/>
              </w:rPr>
              <w:t>1（</w:t>
            </w:r>
            <w:r>
              <w:rPr>
                <w:rFonts w:hint="eastAsia" w:ascii="宋体" w:hAnsi="宋体" w:eastAsia="宋体" w:cs="宋体"/>
                <w:bCs/>
                <w:color w:val="auto"/>
                <w:kern w:val="0"/>
                <w:sz w:val="24"/>
                <w:szCs w:val="24"/>
                <w:lang w:eastAsia="zh-CN"/>
              </w:rPr>
              <w:t>批</w:t>
            </w:r>
            <w:r>
              <w:rPr>
                <w:rFonts w:hint="eastAsia" w:ascii="宋体" w:hAnsi="宋体" w:eastAsia="宋体" w:cs="宋体"/>
                <w:bCs/>
                <w:color w:val="auto"/>
                <w:kern w:val="0"/>
                <w:sz w:val="24"/>
                <w:szCs w:val="24"/>
              </w:rPr>
              <w:t>）</w:t>
            </w:r>
          </w:p>
        </w:tc>
        <w:tc>
          <w:tcPr>
            <w:tcW w:w="142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lang w:eastAsia="zh-CN"/>
              </w:rPr>
              <w:t>251000</w:t>
            </w:r>
          </w:p>
        </w:tc>
        <w:tc>
          <w:tcPr>
            <w:tcW w:w="1380" w:type="dxa"/>
            <w:tcBorders>
              <w:top w:val="outset" w:color="auto" w:sz="6" w:space="0"/>
              <w:left w:val="outset" w:color="auto" w:sz="6" w:space="0"/>
              <w:right w:val="outset" w:color="auto" w:sz="6" w:space="0"/>
            </w:tcBorders>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Cs/>
                <w:color w:val="auto"/>
                <w:kern w:val="0"/>
                <w:sz w:val="24"/>
                <w:szCs w:val="24"/>
                <w:lang w:eastAsia="zh-CN"/>
              </w:rPr>
            </w:pPr>
            <w:r>
              <w:rPr>
                <w:rFonts w:hint="eastAsia" w:ascii="宋体" w:hAnsi="宋体" w:eastAsia="宋体" w:cs="宋体"/>
                <w:bCs/>
                <w:color w:val="auto"/>
                <w:sz w:val="24"/>
                <w:szCs w:val="24"/>
                <w:lang w:eastAsia="zh-CN"/>
              </w:rPr>
              <w:t>251000</w:t>
            </w:r>
          </w:p>
        </w:tc>
        <w:tc>
          <w:tcPr>
            <w:tcW w:w="1005" w:type="dxa"/>
            <w:tcBorders>
              <w:top w:val="outset" w:color="auto" w:sz="6" w:space="0"/>
              <w:left w:val="outset" w:color="auto" w:sz="6" w:space="0"/>
              <w:right w:val="outset" w:color="auto" w:sz="6" w:space="0"/>
            </w:tcBorders>
            <w:vAlign w:val="center"/>
          </w:tcPr>
          <w:p>
            <w:pPr>
              <w:keepNext w:val="0"/>
              <w:keepLines w:val="0"/>
              <w:pageBreakBefore w:val="0"/>
              <w:widowControl/>
              <w:kinsoku/>
              <w:wordWrap/>
              <w:overflowPunct/>
              <w:topLinePunct w:val="0"/>
              <w:bidi w:val="0"/>
              <w:snapToGrid/>
              <w:spacing w:line="360" w:lineRule="auto"/>
              <w:jc w:val="center"/>
              <w:textAlignment w:val="auto"/>
              <w:rPr>
                <w:rFonts w:hint="default" w:ascii="宋体" w:hAnsi="宋体" w:eastAsia="宋体" w:cs="宋体"/>
                <w:bCs/>
                <w:color w:val="auto"/>
                <w:kern w:val="0"/>
                <w:sz w:val="24"/>
                <w:szCs w:val="24"/>
                <w:lang w:val="en-US" w:eastAsia="zh-CN"/>
              </w:rPr>
            </w:pPr>
            <w:r>
              <w:rPr>
                <w:rFonts w:hint="default" w:ascii="宋体" w:hAnsi="宋体" w:eastAsia="宋体" w:cs="宋体"/>
                <w:bCs/>
                <w:color w:val="auto"/>
                <w:kern w:val="0"/>
                <w:sz w:val="24"/>
                <w:szCs w:val="24"/>
                <w:lang w:val="en-US" w:eastAsia="zh-CN"/>
              </w:rPr>
              <w:t>0</w:t>
            </w:r>
          </w:p>
        </w:tc>
      </w:tr>
    </w:tbl>
    <w:p>
      <w:pPr>
        <w:pStyle w:val="8"/>
        <w:keepNext w:val="0"/>
        <w:keepLines w:val="0"/>
        <w:pageBreakBefore w:val="0"/>
        <w:widowControl/>
        <w:kinsoku/>
        <w:wordWrap/>
        <w:overflowPunct/>
        <w:topLinePunct w:val="0"/>
        <w:bidi w:val="0"/>
        <w:snapToGrid/>
        <w:spacing w:before="75" w:beforeAutospacing="0" w:after="75" w:afterAutospacing="0" w:line="360" w:lineRule="auto"/>
        <w:ind w:firstLine="480" w:firstLineChars="200"/>
        <w:textAlignment w:val="auto"/>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4.采购项目需要落实的政府采购政策：节能产品，适用于（合同包1），按</w:t>
      </w:r>
      <w:r>
        <w:rPr>
          <w:rFonts w:hint="eastAsia" w:ascii="宋体" w:hAnsi="宋体" w:eastAsia="宋体" w:cs="宋体"/>
          <w:color w:val="auto"/>
          <w:highlight w:val="none"/>
          <w:shd w:val="clear" w:color="auto" w:fill="FFFFFF"/>
        </w:rPr>
        <w:t>照《关于印发节能产品政府采购品目清单的通知》财库〔2019〕19号执行。环境标志产品，适用于（合同包1），</w:t>
      </w:r>
      <w:r>
        <w:rPr>
          <w:rFonts w:hint="eastAsia" w:ascii="宋体" w:hAnsi="宋体" w:eastAsia="宋体" w:cs="宋体"/>
          <w:color w:val="auto"/>
          <w:sz w:val="24"/>
          <w:szCs w:val="24"/>
          <w:highlight w:val="none"/>
        </w:rPr>
        <w:t>按照《关于印发环境标志产品政府采购品目清单的通知》财库〔2019〕18号执行。</w:t>
      </w:r>
      <w:r>
        <w:rPr>
          <w:rFonts w:hint="eastAsia" w:ascii="宋体" w:hAnsi="宋体" w:eastAsia="宋体" w:cs="宋体"/>
          <w:color w:val="auto"/>
          <w:highlight w:val="none"/>
          <w:shd w:val="clear" w:color="auto" w:fill="FFFFFF"/>
        </w:rPr>
        <w:t>信息安全产品，适用于（合同包1）。小型、微型企业符合财政部、工信部文件（财库〔2020〕46号），适用于（合同包1）。监狱企业，适用于（合同包1）。促进残疾人就业 ，适用于</w:t>
      </w:r>
      <w:r>
        <w:rPr>
          <w:rFonts w:hint="eastAsia" w:ascii="宋体" w:hAnsi="宋体" w:eastAsia="宋体" w:cs="宋体"/>
          <w:color w:val="auto"/>
          <w:shd w:val="clear" w:color="auto" w:fill="FFFFFF"/>
        </w:rPr>
        <w:t>（合同包1）。信用记录，适用于（合同包1），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8"/>
        <w:keepNext w:val="0"/>
        <w:keepLines w:val="0"/>
        <w:pageBreakBefore w:val="0"/>
        <w:widowControl/>
        <w:kinsoku/>
        <w:wordWrap/>
        <w:overflowPunct/>
        <w:topLinePunct w:val="0"/>
        <w:bidi w:val="0"/>
        <w:snapToGrid/>
        <w:spacing w:before="75" w:beforeAutospacing="0" w:after="75" w:afterAutospacing="0" w:line="360" w:lineRule="auto"/>
        <w:ind w:firstLine="480" w:firstLineChars="200"/>
        <w:textAlignment w:val="auto"/>
        <w:rPr>
          <w:rFonts w:ascii="宋体" w:hAnsi="宋体" w:eastAsia="宋体" w:cs="宋体"/>
          <w:color w:val="auto"/>
        </w:rPr>
      </w:pPr>
      <w:r>
        <w:rPr>
          <w:rFonts w:hint="eastAsia" w:ascii="宋体" w:hAnsi="宋体" w:eastAsia="宋体" w:cs="宋体"/>
          <w:color w:val="auto"/>
        </w:rPr>
        <w:t>5.供应商的资格要求：</w:t>
      </w:r>
    </w:p>
    <w:p>
      <w:pPr>
        <w:pStyle w:val="8"/>
        <w:keepNext w:val="0"/>
        <w:keepLines w:val="0"/>
        <w:pageBreakBefore w:val="0"/>
        <w:widowControl/>
        <w:kinsoku/>
        <w:wordWrap/>
        <w:overflowPunct/>
        <w:topLinePunct w:val="0"/>
        <w:bidi w:val="0"/>
        <w:snapToGrid/>
        <w:spacing w:before="75" w:beforeAutospacing="0" w:after="75" w:afterAutospacing="0" w:line="360" w:lineRule="auto"/>
        <w:ind w:firstLine="480" w:firstLineChars="200"/>
        <w:textAlignment w:val="auto"/>
        <w:rPr>
          <w:rFonts w:ascii="宋体" w:hAnsi="宋体" w:eastAsia="宋体" w:cs="宋体"/>
          <w:color w:val="auto"/>
        </w:rPr>
      </w:pPr>
      <w:r>
        <w:rPr>
          <w:rFonts w:hint="eastAsia" w:ascii="宋体" w:hAnsi="宋体" w:eastAsia="宋体" w:cs="宋体"/>
          <w:color w:val="auto"/>
          <w:shd w:val="clear" w:color="auto" w:fill="FFFFFF"/>
        </w:rPr>
        <w:t>5.1符合《中华人民共和国政府采购法》第二十二条第一款规定的条件。</w:t>
      </w:r>
    </w:p>
    <w:p>
      <w:pPr>
        <w:pStyle w:val="8"/>
        <w:keepNext w:val="0"/>
        <w:keepLines w:val="0"/>
        <w:pageBreakBefore w:val="0"/>
        <w:widowControl/>
        <w:kinsoku/>
        <w:wordWrap/>
        <w:overflowPunct/>
        <w:topLinePunct w:val="0"/>
        <w:bidi w:val="0"/>
        <w:snapToGrid/>
        <w:spacing w:before="75" w:beforeAutospacing="0" w:after="75" w:afterAutospacing="0" w:line="360" w:lineRule="auto"/>
        <w:ind w:firstLine="480" w:firstLineChars="200"/>
        <w:textAlignment w:val="auto"/>
        <w:rPr>
          <w:rFonts w:ascii="宋体" w:hAnsi="宋体" w:eastAsia="宋体" w:cs="宋体"/>
          <w:color w:val="auto"/>
          <w:shd w:val="clear" w:color="auto" w:fill="FFFFFF"/>
        </w:rPr>
      </w:pPr>
      <w:r>
        <w:rPr>
          <w:rFonts w:hint="eastAsia" w:ascii="宋体" w:hAnsi="宋体" w:eastAsia="宋体" w:cs="宋体"/>
          <w:color w:val="auto"/>
          <w:shd w:val="clear" w:color="auto" w:fill="FFFFFF"/>
        </w:rPr>
        <w:t>5.2特定条件：</w:t>
      </w:r>
    </w:p>
    <w:p>
      <w:pPr>
        <w:pStyle w:val="8"/>
        <w:keepNext w:val="0"/>
        <w:keepLines w:val="0"/>
        <w:pageBreakBefore w:val="0"/>
        <w:widowControl/>
        <w:kinsoku/>
        <w:wordWrap/>
        <w:overflowPunct/>
        <w:topLinePunct w:val="0"/>
        <w:bidi w:val="0"/>
        <w:snapToGrid/>
        <w:spacing w:before="75" w:beforeAutospacing="0" w:after="75" w:afterAutospacing="0" w:line="360" w:lineRule="auto"/>
        <w:ind w:firstLine="482" w:firstLineChars="200"/>
        <w:textAlignment w:val="auto"/>
        <w:rPr>
          <w:rFonts w:ascii="宋体" w:hAnsi="宋体" w:eastAsia="宋体" w:cs="宋体"/>
          <w:color w:val="auto"/>
        </w:rPr>
      </w:pPr>
      <w:r>
        <w:rPr>
          <w:rStyle w:val="13"/>
          <w:rFonts w:hint="eastAsia" w:ascii="宋体" w:hAnsi="宋体" w:eastAsia="宋体" w:cs="宋体"/>
          <w:color w:val="auto"/>
          <w:shd w:val="clear" w:color="auto" w:fill="FFFFFF"/>
        </w:rPr>
        <w:t>包1</w:t>
      </w:r>
    </w:p>
    <w:tbl>
      <w:tblPr>
        <w:tblStyle w:val="10"/>
        <w:tblW w:w="8336"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80"/>
        <w:gridCol w:w="5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3280" w:type="dxa"/>
            <w:vAlign w:val="center"/>
          </w:tcPr>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b/>
                <w:color w:val="auto"/>
              </w:rPr>
            </w:pPr>
            <w:r>
              <w:rPr>
                <w:rFonts w:hint="eastAsia" w:ascii="宋体" w:hAnsi="宋体" w:eastAsia="宋体" w:cs="宋体"/>
                <w:b/>
                <w:color w:val="auto"/>
                <w:kern w:val="0"/>
                <w:sz w:val="24"/>
              </w:rPr>
              <w:t>明细</w:t>
            </w:r>
          </w:p>
        </w:tc>
        <w:tc>
          <w:tcPr>
            <w:tcW w:w="5056" w:type="dxa"/>
            <w:vAlign w:val="center"/>
          </w:tcPr>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b/>
                <w:color w:val="auto"/>
              </w:rPr>
            </w:pPr>
            <w:r>
              <w:rPr>
                <w:rFonts w:hint="eastAsia" w:ascii="宋体" w:hAnsi="宋体" w:eastAsia="宋体" w:cs="宋体"/>
                <w:b/>
                <w:color w:val="auto"/>
                <w:kern w:val="0"/>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280" w:type="dxa"/>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rPr>
            </w:pPr>
            <w:r>
              <w:rPr>
                <w:rFonts w:hint="eastAsia" w:ascii="宋体" w:hAnsi="宋体" w:eastAsia="宋体" w:cs="宋体"/>
                <w:color w:val="auto"/>
                <w:kern w:val="0"/>
                <w:sz w:val="24"/>
                <w:szCs w:val="24"/>
              </w:rPr>
              <w:t>招标文件规定的其他资格证明文件（若有）</w:t>
            </w:r>
          </w:p>
        </w:tc>
        <w:tc>
          <w:tcPr>
            <w:tcW w:w="5056" w:type="dxa"/>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rPr>
            </w:pPr>
            <w:r>
              <w:rPr>
                <w:rFonts w:hint="eastAsia" w:ascii="宋体" w:hAnsi="宋体" w:eastAsia="宋体" w:cs="宋体"/>
                <w:color w:val="auto"/>
                <w:kern w:val="0"/>
                <w:sz w:val="24"/>
                <w:szCs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w:t>
            </w:r>
            <w:r>
              <w:rPr>
                <w:rFonts w:hint="eastAsia" w:ascii="宋体" w:hAnsi="宋体" w:eastAsia="宋体" w:cs="宋体"/>
                <w:color w:val="auto"/>
                <w:kern w:val="0"/>
                <w:sz w:val="24"/>
                <w:szCs w:val="24"/>
                <w:lang w:eastAsia="zh-CN"/>
              </w:rPr>
              <w:t>五</w:t>
            </w:r>
            <w:r>
              <w:rPr>
                <w:rFonts w:hint="eastAsia" w:ascii="宋体" w:hAnsi="宋体" w:eastAsia="宋体" w:cs="宋体"/>
                <w:color w:val="auto"/>
                <w:kern w:val="0"/>
                <w:sz w:val="24"/>
                <w:szCs w:val="24"/>
              </w:rPr>
              <w:t>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280" w:type="dxa"/>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rPr>
            </w:pPr>
            <w:r>
              <w:rPr>
                <w:rFonts w:hint="eastAsia" w:ascii="宋体" w:hAnsi="宋体" w:eastAsia="宋体" w:cs="宋体"/>
                <w:color w:val="auto"/>
                <w:kern w:val="0"/>
                <w:sz w:val="24"/>
                <w:szCs w:val="24"/>
              </w:rPr>
              <w:t>具备履行合同所必需设备和专业技术能力专项证明材料（若有）</w:t>
            </w:r>
          </w:p>
        </w:tc>
        <w:tc>
          <w:tcPr>
            <w:tcW w:w="5056" w:type="dxa"/>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rPr>
            </w:pPr>
            <w:r>
              <w:rPr>
                <w:rFonts w:hint="eastAsia" w:ascii="宋体" w:hAnsi="宋体" w:eastAsia="宋体" w:cs="宋体"/>
                <w:color w:val="auto"/>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pStyle w:val="8"/>
        <w:keepNext w:val="0"/>
        <w:keepLines w:val="0"/>
        <w:pageBreakBefore w:val="0"/>
        <w:widowControl/>
        <w:kinsoku/>
        <w:wordWrap/>
        <w:overflowPunct/>
        <w:topLinePunct w:val="0"/>
        <w:bidi w:val="0"/>
        <w:snapToGrid/>
        <w:spacing w:before="75" w:beforeAutospacing="0" w:after="75" w:afterAutospacing="0" w:line="360" w:lineRule="auto"/>
        <w:ind w:firstLine="480" w:firstLineChars="200"/>
        <w:textAlignment w:val="auto"/>
        <w:rPr>
          <w:rFonts w:ascii="宋体" w:hAnsi="宋体" w:eastAsia="宋体" w:cs="宋体"/>
          <w:color w:val="auto"/>
          <w:shd w:val="clear" w:color="auto" w:fill="FFFFFF"/>
        </w:rPr>
      </w:pPr>
      <w:r>
        <w:rPr>
          <w:rFonts w:hint="eastAsia" w:ascii="宋体" w:hAnsi="宋体" w:eastAsia="宋体" w:cs="宋体"/>
          <w:color w:val="auto"/>
          <w:shd w:val="clear" w:color="auto" w:fill="FFFFFF"/>
        </w:rPr>
        <w:t>5.3是否接受联合体形式的响应谈判：</w:t>
      </w:r>
      <w:r>
        <w:rPr>
          <w:rFonts w:hint="eastAsia" w:ascii="宋体" w:hAnsi="宋体" w:eastAsia="宋体" w:cs="宋体"/>
          <w:color w:val="auto"/>
          <w:u w:val="single"/>
          <w:shd w:val="clear" w:color="auto" w:fill="FFFFFF"/>
        </w:rPr>
        <w:t>不接受。</w:t>
      </w:r>
    </w:p>
    <w:p>
      <w:pPr>
        <w:pStyle w:val="8"/>
        <w:keepNext w:val="0"/>
        <w:keepLines w:val="0"/>
        <w:pageBreakBefore w:val="0"/>
        <w:widowControl/>
        <w:kinsoku/>
        <w:wordWrap/>
        <w:overflowPunct/>
        <w:topLinePunct w:val="0"/>
        <w:bidi w:val="0"/>
        <w:snapToGrid/>
        <w:spacing w:before="75" w:beforeAutospacing="0" w:after="75" w:afterAutospacing="0" w:line="360" w:lineRule="auto"/>
        <w:ind w:firstLine="482" w:firstLineChars="200"/>
        <w:textAlignment w:val="auto"/>
        <w:rPr>
          <w:rFonts w:ascii="宋体" w:hAnsi="宋体" w:eastAsia="宋体" w:cs="宋体"/>
          <w:color w:val="auto"/>
        </w:rPr>
      </w:pPr>
      <w:r>
        <w:rPr>
          <w:rStyle w:val="13"/>
          <w:rFonts w:hint="eastAsia" w:ascii="宋体" w:hAnsi="宋体" w:eastAsia="宋体" w:cs="宋体"/>
          <w:color w:val="auto"/>
        </w:rPr>
        <w:t>※</w:t>
      </w:r>
      <w:r>
        <w:rPr>
          <w:rStyle w:val="13"/>
          <w:rFonts w:hint="eastAsia" w:ascii="宋体" w:hAnsi="宋体" w:eastAsia="宋体" w:cs="宋体"/>
          <w:color w:val="auto"/>
          <w:shd w:val="clear" w:color="auto" w:fill="FFFFFF"/>
        </w:rPr>
        <w:t>根据上述资格要求，供应商响应文件中应提交的“资格证明文件”相关规定和资料要求，详见竞争性谈判须知前附表和谈判文件第五章。</w:t>
      </w:r>
    </w:p>
    <w:p>
      <w:pPr>
        <w:pStyle w:val="8"/>
        <w:keepNext w:val="0"/>
        <w:keepLines w:val="0"/>
        <w:pageBreakBefore w:val="0"/>
        <w:widowControl/>
        <w:kinsoku/>
        <w:wordWrap/>
        <w:overflowPunct/>
        <w:topLinePunct w:val="0"/>
        <w:bidi w:val="0"/>
        <w:snapToGrid/>
        <w:spacing w:before="75" w:beforeAutospacing="0" w:after="75" w:afterAutospacing="0" w:line="360" w:lineRule="auto"/>
        <w:ind w:firstLine="480" w:firstLineChars="200"/>
        <w:textAlignment w:val="auto"/>
        <w:rPr>
          <w:rFonts w:ascii="宋体" w:hAnsi="宋体" w:eastAsia="宋体" w:cs="宋体"/>
          <w:color w:val="auto"/>
        </w:rPr>
      </w:pPr>
      <w:r>
        <w:rPr>
          <w:rFonts w:hint="eastAsia" w:ascii="宋体" w:hAnsi="宋体" w:eastAsia="宋体" w:cs="宋体"/>
          <w:color w:val="auto"/>
          <w:shd w:val="clear" w:color="auto" w:fill="FFFFFF"/>
        </w:rPr>
        <w:t>6.</w:t>
      </w:r>
      <w:r>
        <w:rPr>
          <w:rFonts w:hint="eastAsia" w:ascii="宋体" w:hAnsi="宋体" w:eastAsia="宋体" w:cs="宋体"/>
          <w:color w:val="auto"/>
          <w:szCs w:val="24"/>
        </w:rPr>
        <w:t>供应商报名期限：详见谈判公告或更正公告（若有），若不一致，以更正公告（若有）为准</w:t>
      </w:r>
      <w:r>
        <w:rPr>
          <w:rFonts w:hint="eastAsia" w:ascii="宋体" w:hAnsi="宋体" w:eastAsia="宋体" w:cs="宋体"/>
          <w:color w:val="auto"/>
          <w:szCs w:val="24"/>
          <w:shd w:val="clear" w:color="auto" w:fill="FFFFFF"/>
        </w:rPr>
        <w:t>。</w:t>
      </w:r>
    </w:p>
    <w:p>
      <w:pPr>
        <w:pStyle w:val="8"/>
        <w:keepNext w:val="0"/>
        <w:keepLines w:val="0"/>
        <w:pageBreakBefore w:val="0"/>
        <w:widowControl/>
        <w:kinsoku/>
        <w:wordWrap/>
        <w:overflowPunct/>
        <w:topLinePunct w:val="0"/>
        <w:bidi w:val="0"/>
        <w:snapToGrid/>
        <w:spacing w:before="75" w:beforeAutospacing="0" w:after="75" w:afterAutospacing="0" w:line="360" w:lineRule="auto"/>
        <w:ind w:firstLine="480" w:firstLineChars="200"/>
        <w:textAlignment w:val="auto"/>
        <w:rPr>
          <w:rFonts w:ascii="宋体" w:hAnsi="宋体" w:eastAsia="宋体" w:cs="宋体"/>
          <w:color w:val="auto"/>
        </w:rPr>
      </w:pPr>
      <w:r>
        <w:rPr>
          <w:rFonts w:hint="eastAsia" w:ascii="宋体" w:hAnsi="宋体" w:eastAsia="宋体" w:cs="宋体"/>
          <w:color w:val="auto"/>
          <w:szCs w:val="24"/>
          <w:shd w:val="clear" w:color="auto" w:fill="FFFFFF"/>
        </w:rPr>
        <w:t>6.1如果采购过程中有发出更正公告，采购人将根据实际情况确定是否延长报名期限，则报名截止时间以更正公告中的约定为准。</w:t>
      </w:r>
    </w:p>
    <w:p>
      <w:pPr>
        <w:pStyle w:val="8"/>
        <w:keepNext w:val="0"/>
        <w:keepLines w:val="0"/>
        <w:pageBreakBefore w:val="0"/>
        <w:widowControl/>
        <w:kinsoku/>
        <w:wordWrap/>
        <w:overflowPunct/>
        <w:topLinePunct w:val="0"/>
        <w:bidi w:val="0"/>
        <w:snapToGrid/>
        <w:spacing w:before="75" w:beforeAutospacing="0" w:after="75" w:afterAutospacing="0" w:line="360" w:lineRule="auto"/>
        <w:ind w:firstLine="480" w:firstLineChars="200"/>
        <w:textAlignment w:val="auto"/>
        <w:rPr>
          <w:rFonts w:ascii="宋体" w:hAnsi="宋体" w:eastAsia="宋体" w:cs="宋体"/>
          <w:color w:val="auto"/>
          <w:szCs w:val="24"/>
        </w:rPr>
      </w:pPr>
      <w:r>
        <w:rPr>
          <w:rFonts w:hint="eastAsia" w:ascii="宋体" w:hAnsi="宋体" w:eastAsia="宋体" w:cs="宋体"/>
          <w:color w:val="auto"/>
          <w:szCs w:val="24"/>
          <w:shd w:val="clear" w:color="auto" w:fill="FFFFFF"/>
        </w:rPr>
        <w:t>6.2报名期限内，供应商应通过向福建丰盛项目管理有限公司对本项目进行报名(请致电联系，或至福建省泉州市丰泽区坪山路255号泉州理工职业学院思恩楼6楼601报名)。未报名将导致其响应文件被拒收。</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7.获取采购文件时间、地点、方式：</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7.1采购文件的提供期限：详见谈判公告或更正公告（若有），若不一致，以更正公告（若有）为准。</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7.2获取地点及方式：应凡有意参加的供应商可按下述地址到福建丰盛项目管理有限公司（福建省泉州市丰泽区坪山路255号泉州理工职业学院思恩楼6楼601）购买竞争性谈判文件，未购买谈判文件的投标人，其投标将被拒绝。</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8.采购文件售价：200元。售后不退，若需邮寄，请加付邮寄费50元。对邮寄过程中可能发生的延误或丢失，招标代理机构概不负责。   </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9.首次响应文件递交截止时间及地点：详见谈判公告或更正公告（若有），若不一致，以更正公告（若有）为准。供应商应在此之前将密封的首次响应文件送达本章第10条载明的地点，逾期送达的或不符合规定的响应文件将被拒绝接收。</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10.谈判时间及地点：详见谈判公告或更正公告（若有），若不一致，以更正公告（若有）为准。</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11.竞争性谈判公告期限：自财政部指定的政府采购信息发布媒体最先发布公告之日起3个工作日。</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12.采购人：</w:t>
      </w:r>
      <w:r>
        <w:rPr>
          <w:rFonts w:hint="eastAsia" w:ascii="宋体" w:hAnsi="宋体" w:eastAsia="宋体" w:cs="宋体"/>
          <w:color w:val="auto"/>
          <w:kern w:val="0"/>
          <w:sz w:val="24"/>
          <w:szCs w:val="24"/>
          <w:lang w:eastAsia="zh-CN"/>
        </w:rPr>
        <w:t>泉州师范学院</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地  址：福建省泉州市丰泽区东海大街398号</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联</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系</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人：</w:t>
      </w:r>
      <w:r>
        <w:rPr>
          <w:rFonts w:hint="eastAsia" w:ascii="宋体" w:hAnsi="宋体" w:eastAsia="宋体" w:cs="宋体"/>
          <w:color w:val="auto"/>
          <w:kern w:val="0"/>
          <w:sz w:val="24"/>
          <w:szCs w:val="24"/>
          <w:lang w:eastAsia="zh-CN"/>
        </w:rPr>
        <w:t>杨老师</w:t>
      </w:r>
      <w:r>
        <w:rPr>
          <w:rFonts w:hint="eastAsia" w:ascii="宋体" w:hAnsi="宋体" w:eastAsia="宋体" w:cs="宋体"/>
          <w:color w:val="auto"/>
          <w:kern w:val="0"/>
          <w:sz w:val="24"/>
          <w:szCs w:val="24"/>
        </w:rPr>
        <w:t xml:space="preserve"> </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联系方法：0595-22919532</w:t>
      </w:r>
    </w:p>
    <w:p>
      <w:pPr>
        <w:pStyle w:val="2"/>
        <w:keepNext w:val="0"/>
        <w:keepLines w:val="0"/>
        <w:pageBreakBefore w:val="0"/>
        <w:kinsoku/>
        <w:wordWrap/>
        <w:overflowPunct/>
        <w:topLinePunct w:val="0"/>
        <w:bidi w:val="0"/>
        <w:snapToGrid/>
        <w:spacing w:line="360" w:lineRule="auto"/>
        <w:textAlignment w:val="auto"/>
        <w:rPr>
          <w:color w:val="auto"/>
        </w:rPr>
      </w:pP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代理机构：福建丰盛项目管理有限公司</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  址：福建省泉州市丰泽区坪山路255号泉州理工职业学院思恩楼</w:t>
      </w:r>
    </w:p>
    <w:p>
      <w:pPr>
        <w:keepNext w:val="0"/>
        <w:keepLines w:val="0"/>
        <w:pageBreakBefore w:val="0"/>
        <w:widowControl/>
        <w:kinsoku/>
        <w:wordWrap/>
        <w:overflowPunct/>
        <w:topLinePunct w:val="0"/>
        <w:bidi w:val="0"/>
        <w:snapToGrid/>
        <w:spacing w:before="75" w:after="75" w:line="360" w:lineRule="auto"/>
        <w:ind w:firstLine="1680" w:firstLineChars="7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6楼601</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联</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系</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人：小严</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联系方法：</w:t>
      </w:r>
      <w:r>
        <w:rPr>
          <w:rFonts w:hint="default" w:ascii="宋体" w:hAnsi="宋体" w:eastAsia="宋体" w:cs="宋体"/>
          <w:color w:val="auto"/>
          <w:kern w:val="0"/>
          <w:sz w:val="24"/>
          <w:szCs w:val="24"/>
          <w:lang w:val="en-US" w:eastAsia="zh-CN"/>
        </w:rPr>
        <w:t>0595-22896657</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13395062909</w:t>
      </w:r>
    </w:p>
    <w:p>
      <w:pPr>
        <w:pStyle w:val="2"/>
        <w:rPr>
          <w:rFonts w:hint="default"/>
          <w:color w:val="auto"/>
          <w:lang w:val="en-US" w:eastAsia="zh-CN"/>
        </w:rPr>
      </w:pPr>
    </w:p>
    <w:p>
      <w:pPr>
        <w:widowControl/>
        <w:spacing w:before="75" w:after="75" w:line="360" w:lineRule="auto"/>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br w:type="page"/>
      </w:r>
    </w:p>
    <w:p>
      <w:pPr>
        <w:spacing w:line="360" w:lineRule="auto"/>
        <w:jc w:val="center"/>
        <w:rPr>
          <w:rFonts w:ascii="宋体" w:hAnsi="宋体" w:eastAsia="宋体" w:cs="宋体"/>
          <w:b/>
          <w:bCs/>
          <w:color w:val="auto"/>
          <w:kern w:val="0"/>
          <w:sz w:val="44"/>
        </w:rPr>
      </w:pPr>
      <w:r>
        <w:rPr>
          <w:rFonts w:hint="eastAsia" w:ascii="宋体" w:hAnsi="宋体" w:eastAsia="宋体" w:cs="宋体"/>
          <w:b/>
          <w:bCs/>
          <w:color w:val="auto"/>
          <w:kern w:val="0"/>
          <w:sz w:val="32"/>
          <w:szCs w:val="32"/>
        </w:rPr>
        <w:t>第二章  竞争性谈判须知</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b/>
          <w:bCs/>
          <w:color w:val="auto"/>
          <w:kern w:val="0"/>
          <w:sz w:val="24"/>
          <w:szCs w:val="24"/>
        </w:rPr>
        <w:t>            </w:t>
      </w:r>
    </w:p>
    <w:p>
      <w:pPr>
        <w:widowControl/>
        <w:spacing w:before="75" w:after="75" w:line="360" w:lineRule="auto"/>
        <w:jc w:val="center"/>
        <w:outlineLvl w:val="1"/>
        <w:rPr>
          <w:rFonts w:ascii="宋体" w:hAnsi="宋体" w:eastAsia="宋体" w:cs="宋体"/>
          <w:color w:val="auto"/>
          <w:kern w:val="0"/>
          <w:sz w:val="24"/>
          <w:szCs w:val="24"/>
        </w:rPr>
      </w:pPr>
      <w:r>
        <w:rPr>
          <w:rFonts w:hint="eastAsia" w:ascii="宋体" w:hAnsi="宋体" w:eastAsia="宋体" w:cs="宋体"/>
          <w:b/>
          <w:bCs/>
          <w:color w:val="auto"/>
          <w:kern w:val="0"/>
          <w:sz w:val="32"/>
        </w:rPr>
        <w:t>第1节  竞争性谈判须知前附表</w:t>
      </w:r>
    </w:p>
    <w:p>
      <w:pPr>
        <w:keepNext w:val="0"/>
        <w:keepLines w:val="0"/>
        <w:pageBreakBefore w:val="0"/>
        <w:widowControl/>
        <w:kinsoku/>
        <w:overflowPunct/>
        <w:topLinePunct w:val="0"/>
        <w:bidi w:val="0"/>
        <w:spacing w:before="75" w:after="240"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竞争性谈判须知前附表是对竞争性谈判须知的补充和细化，二者如有矛盾，以前附表中的要求和规定为准</w:t>
      </w:r>
    </w:p>
    <w:tbl>
      <w:tblPr>
        <w:tblStyle w:val="10"/>
        <w:tblW w:w="8606"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1"/>
        <w:gridCol w:w="796"/>
        <w:gridCol w:w="7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blCellSpacing w:w="15" w:type="dxa"/>
        </w:trPr>
        <w:tc>
          <w:tcPr>
            <w:tcW w:w="526" w:type="dxa"/>
            <w:tcMar>
              <w:top w:w="0" w:type="dxa"/>
              <w:left w:w="105" w:type="dxa"/>
              <w:bottom w:w="0" w:type="dxa"/>
              <w:right w:w="105" w:type="dxa"/>
            </w:tcMa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项号</w:t>
            </w:r>
          </w:p>
        </w:tc>
        <w:tc>
          <w:tcPr>
            <w:tcW w:w="766" w:type="dxa"/>
            <w:tcMar>
              <w:top w:w="0" w:type="dxa"/>
              <w:left w:w="105" w:type="dxa"/>
              <w:bottom w:w="0" w:type="dxa"/>
              <w:right w:w="105" w:type="dxa"/>
            </w:tcMa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条款号</w:t>
            </w:r>
          </w:p>
        </w:tc>
        <w:tc>
          <w:tcPr>
            <w:tcW w:w="7194" w:type="dxa"/>
            <w:tcMar>
              <w:top w:w="0" w:type="dxa"/>
              <w:left w:w="105" w:type="dxa"/>
              <w:bottom w:w="0" w:type="dxa"/>
              <w:right w:w="105" w:type="dxa"/>
            </w:tcMar>
          </w:tcPr>
          <w:p>
            <w:pPr>
              <w:keepNext w:val="0"/>
              <w:keepLines w:val="0"/>
              <w:pageBreakBefore w:val="0"/>
              <w:widowControl/>
              <w:kinsoku/>
              <w:overflowPunct/>
              <w:topLinePunct w:val="0"/>
              <w:bidi w:val="0"/>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blCellSpacing w:w="15" w:type="dxa"/>
        </w:trPr>
        <w:tc>
          <w:tcPr>
            <w:tcW w:w="526" w:type="dxa"/>
            <w:tcMar>
              <w:top w:w="0" w:type="dxa"/>
              <w:left w:w="105" w:type="dxa"/>
              <w:bottom w:w="0" w:type="dxa"/>
              <w:right w:w="105" w:type="dxa"/>
            </w:tcMar>
            <w:vAlign w:val="center"/>
          </w:tcPr>
          <w:p>
            <w:pPr>
              <w:keepNext w:val="0"/>
              <w:keepLines w:val="0"/>
              <w:pageBreakBefore w:val="0"/>
              <w:widowControl/>
              <w:kinsoku/>
              <w:overflowPunct/>
              <w:topLinePunct w:val="0"/>
              <w:bidi w:val="0"/>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766" w:type="dxa"/>
            <w:tcMar>
              <w:top w:w="0" w:type="dxa"/>
              <w:left w:w="105" w:type="dxa"/>
              <w:bottom w:w="0" w:type="dxa"/>
              <w:right w:w="105" w:type="dxa"/>
            </w:tcMar>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3.2.1</w:t>
            </w:r>
          </w:p>
        </w:tc>
        <w:tc>
          <w:tcPr>
            <w:tcW w:w="7194" w:type="dxa"/>
            <w:tcMar>
              <w:top w:w="0" w:type="dxa"/>
              <w:left w:w="105" w:type="dxa"/>
              <w:bottom w:w="0" w:type="dxa"/>
              <w:right w:w="105" w:type="dxa"/>
            </w:tcMar>
            <w:vAlign w:val="center"/>
          </w:tcPr>
          <w:p>
            <w:pPr>
              <w:keepNext w:val="0"/>
              <w:keepLines w:val="0"/>
              <w:pageBreakBefore w:val="0"/>
              <w:widowControl/>
              <w:kinsoku/>
              <w:overflowPunct/>
              <w:topLinePunct w:val="0"/>
              <w:bidi w:val="0"/>
              <w:spacing w:line="360" w:lineRule="auto"/>
              <w:ind w:firstLine="482" w:firstLineChars="200"/>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供应商的资格要求</w:t>
            </w:r>
            <w:r>
              <w:rPr>
                <w:rFonts w:hint="eastAsia" w:ascii="宋体" w:hAnsi="宋体" w:eastAsia="宋体" w:cs="宋体"/>
                <w:color w:val="auto"/>
                <w:kern w:val="0"/>
                <w:sz w:val="24"/>
                <w:szCs w:val="24"/>
              </w:rPr>
              <w:t>：见谈判文件第一章“采购公告/采购邀请书”</w:t>
            </w:r>
          </w:p>
          <w:p>
            <w:pPr>
              <w:keepNext w:val="0"/>
              <w:keepLines w:val="0"/>
              <w:pageBreakBefore w:val="0"/>
              <w:widowControl/>
              <w:kinsoku/>
              <w:overflowPunct/>
              <w:topLinePunct w:val="0"/>
              <w:bidi w:val="0"/>
              <w:spacing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资格证明文件资料要求：</w:t>
            </w:r>
          </w:p>
          <w:tbl>
            <w:tblPr>
              <w:tblStyle w:val="10"/>
              <w:tblW w:w="6938"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54"/>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2754" w:type="dxa"/>
                  <w:vAlign w:val="center"/>
                </w:tcPr>
                <w:p>
                  <w:pPr>
                    <w:keepNext w:val="0"/>
                    <w:keepLines w:val="0"/>
                    <w:pageBreakBefore w:val="0"/>
                    <w:widowControl/>
                    <w:kinsoku/>
                    <w:overflowPunct/>
                    <w:topLinePunct w:val="0"/>
                    <w:bidi w:val="0"/>
                    <w:spacing w:line="360" w:lineRule="auto"/>
                    <w:jc w:val="center"/>
                    <w:textAlignment w:val="auto"/>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明细</w:t>
                  </w:r>
                </w:p>
              </w:tc>
              <w:tc>
                <w:tcPr>
                  <w:tcW w:w="4184" w:type="dxa"/>
                  <w:vAlign w:val="center"/>
                </w:tcPr>
                <w:p>
                  <w:pPr>
                    <w:keepNext w:val="0"/>
                    <w:keepLines w:val="0"/>
                    <w:pageBreakBefore w:val="0"/>
                    <w:widowControl/>
                    <w:kinsoku/>
                    <w:overflowPunct/>
                    <w:topLinePunct w:val="0"/>
                    <w:bidi w:val="0"/>
                    <w:spacing w:line="360" w:lineRule="auto"/>
                    <w:jc w:val="center"/>
                    <w:textAlignment w:val="auto"/>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754" w:type="dxa"/>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a1投标函</w:t>
                  </w:r>
                </w:p>
              </w:tc>
              <w:tc>
                <w:tcPr>
                  <w:tcW w:w="4184" w:type="dxa"/>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754" w:type="dxa"/>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a2单位负责人授权书</w:t>
                  </w:r>
                </w:p>
              </w:tc>
              <w:tc>
                <w:tcPr>
                  <w:tcW w:w="4184" w:type="dxa"/>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754" w:type="dxa"/>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a3法人或者其他组织的营业执照等证明文件，自然人的身份证明</w:t>
                  </w:r>
                </w:p>
              </w:tc>
              <w:tc>
                <w:tcPr>
                  <w:tcW w:w="4184" w:type="dxa"/>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754" w:type="dxa"/>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a4财务状况报告</w:t>
                  </w:r>
                </w:p>
              </w:tc>
              <w:tc>
                <w:tcPr>
                  <w:tcW w:w="4184" w:type="dxa"/>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提供会计师事务所出具的上一年度或上一季度财务审计报告，至少包括“资产负债表、利润表、现金流量表”；或者提供开户许可证和投标截止时间前六个月内基本开户银行出具的资信证明；或者提供财政部门认可的政府采购专业担保机构出具的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754" w:type="dxa"/>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a5依法缴纳税收的相关材料</w:t>
                  </w:r>
                </w:p>
              </w:tc>
              <w:tc>
                <w:tcPr>
                  <w:tcW w:w="4184" w:type="dxa"/>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提供投标截止时间前六个月任一个月的依法缴纳税收的凭据；或者提供依法免税的相应证明文件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754" w:type="dxa"/>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a6依法缴纳社会保障资金的相关材料</w:t>
                  </w:r>
                </w:p>
              </w:tc>
              <w:tc>
                <w:tcPr>
                  <w:tcW w:w="4184" w:type="dxa"/>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提供投标截止时间前六个月任一个月的依法缴纳社会保障资金的凭据；或者提供依法不需要缴纳社会保障资金的相应证明文件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754" w:type="dxa"/>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a7具备履行合同所必需的设备和专业技术能力的材料</w:t>
                  </w:r>
                </w:p>
              </w:tc>
              <w:tc>
                <w:tcPr>
                  <w:tcW w:w="4184" w:type="dxa"/>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由招标人根据采购需求在第一章“资格要求特定条件”中详细列明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754" w:type="dxa"/>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a8参加政府采购活动前3年内在经营活动中没有重大违法记录的书面声明</w:t>
                  </w:r>
                </w:p>
              </w:tc>
              <w:tc>
                <w:tcPr>
                  <w:tcW w:w="4184" w:type="dxa"/>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重大违法记录”指竞争性谈判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谈判供应商应按照谈判文件第五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754" w:type="dxa"/>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a9信用信息查询结果</w:t>
                  </w:r>
                </w:p>
              </w:tc>
              <w:tc>
                <w:tcPr>
                  <w:tcW w:w="4184" w:type="dxa"/>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754" w:type="dxa"/>
                  <w:vAlign w:val="center"/>
                </w:tcPr>
                <w:p>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a10投标保证金</w:t>
                  </w:r>
                </w:p>
              </w:tc>
              <w:tc>
                <w:tcPr>
                  <w:tcW w:w="4184" w:type="dxa"/>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p>
              </w:tc>
            </w:tr>
          </w:tbl>
          <w:p>
            <w:pPr>
              <w:keepNext w:val="0"/>
              <w:keepLines w:val="0"/>
              <w:pageBreakBefore w:val="0"/>
              <w:widowControl/>
              <w:kinsoku/>
              <w:overflowPunct/>
              <w:topLinePunct w:val="0"/>
              <w:bidi w:val="0"/>
              <w:spacing w:line="360" w:lineRule="auto"/>
              <w:ind w:firstLine="480" w:firstLineChars="200"/>
              <w:jc w:val="left"/>
              <w:textAlignment w:val="auto"/>
              <w:rPr>
                <w:rFonts w:hint="eastAsia" w:ascii="宋体" w:hAnsi="宋体" w:eastAsia="宋体" w:cs="宋体"/>
                <w:color w:val="auto"/>
                <w:kern w:val="0"/>
                <w:sz w:val="24"/>
                <w:szCs w:val="24"/>
              </w:rPr>
            </w:pPr>
          </w:p>
          <w:p>
            <w:pPr>
              <w:keepNext w:val="0"/>
              <w:keepLines w:val="0"/>
              <w:pageBreakBefore w:val="0"/>
              <w:widowControl/>
              <w:kinsoku/>
              <w:overflowPunct/>
              <w:topLinePunct w:val="0"/>
              <w:bidi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pPr>
              <w:keepNext w:val="0"/>
              <w:keepLines w:val="0"/>
              <w:pageBreakBefore w:val="0"/>
              <w:widowControl/>
              <w:kinsoku/>
              <w:overflowPunct/>
              <w:topLinePunct w:val="0"/>
              <w:bidi w:val="0"/>
              <w:spacing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特定资格条件：</w:t>
            </w:r>
          </w:p>
          <w:p>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包：1</w:t>
            </w:r>
          </w:p>
          <w:p>
            <w:pPr>
              <w:pStyle w:val="2"/>
              <w:rPr>
                <w:color w:val="auto"/>
              </w:rPr>
            </w:pPr>
          </w:p>
          <w:tbl>
            <w:tblPr>
              <w:tblStyle w:val="10"/>
              <w:tblW w:w="6938"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22"/>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3122" w:type="dxa"/>
                  <w:vAlign w:val="center"/>
                </w:tcPr>
                <w:p>
                  <w:pPr>
                    <w:keepNext w:val="0"/>
                    <w:keepLines w:val="0"/>
                    <w:pageBreakBefore w:val="0"/>
                    <w:widowControl/>
                    <w:kinsoku/>
                    <w:overflowPunct/>
                    <w:topLinePunct w:val="0"/>
                    <w:bidi w:val="0"/>
                    <w:spacing w:line="360" w:lineRule="auto"/>
                    <w:jc w:val="center"/>
                    <w:textAlignment w:val="auto"/>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明细</w:t>
                  </w:r>
                </w:p>
              </w:tc>
              <w:tc>
                <w:tcPr>
                  <w:tcW w:w="3816" w:type="dxa"/>
                  <w:vAlign w:val="center"/>
                </w:tcPr>
                <w:p>
                  <w:pPr>
                    <w:keepNext w:val="0"/>
                    <w:keepLines w:val="0"/>
                    <w:pageBreakBefore w:val="0"/>
                    <w:widowControl/>
                    <w:kinsoku/>
                    <w:overflowPunct/>
                    <w:topLinePunct w:val="0"/>
                    <w:bidi w:val="0"/>
                    <w:spacing w:line="360" w:lineRule="auto"/>
                    <w:jc w:val="center"/>
                    <w:textAlignment w:val="auto"/>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122" w:type="dxa"/>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招标文件规定的其他资格证明文件（若有）</w:t>
                  </w:r>
                </w:p>
              </w:tc>
              <w:tc>
                <w:tcPr>
                  <w:tcW w:w="3816" w:type="dxa"/>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w:t>
                  </w:r>
                  <w:r>
                    <w:rPr>
                      <w:rFonts w:hint="eastAsia" w:ascii="宋体" w:hAnsi="宋体" w:eastAsia="宋体" w:cs="宋体"/>
                      <w:color w:val="auto"/>
                      <w:kern w:val="0"/>
                      <w:sz w:val="24"/>
                      <w:szCs w:val="24"/>
                      <w:lang w:eastAsia="zh-CN"/>
                    </w:rPr>
                    <w:t>五</w:t>
                  </w:r>
                  <w:r>
                    <w:rPr>
                      <w:rFonts w:hint="eastAsia" w:ascii="宋体" w:hAnsi="宋体" w:eastAsia="宋体" w:cs="宋体"/>
                      <w:color w:val="auto"/>
                      <w:kern w:val="0"/>
                      <w:sz w:val="24"/>
                      <w:szCs w:val="24"/>
                    </w:rPr>
                    <w:t>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122" w:type="dxa"/>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具备履行合同所必需设备和专业技术能力专项证明材料（若有）</w:t>
                  </w:r>
                </w:p>
              </w:tc>
              <w:tc>
                <w:tcPr>
                  <w:tcW w:w="3816" w:type="dxa"/>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6" w:hRule="atLeast"/>
          <w:tblCellSpacing w:w="15" w:type="dxa"/>
        </w:trPr>
        <w:tc>
          <w:tcPr>
            <w:tcW w:w="526" w:type="dxa"/>
            <w:tcMar>
              <w:top w:w="0" w:type="dxa"/>
              <w:left w:w="105" w:type="dxa"/>
              <w:bottom w:w="0" w:type="dxa"/>
              <w:right w:w="105" w:type="dxa"/>
            </w:tcMar>
            <w:vAlign w:val="center"/>
          </w:tcPr>
          <w:p>
            <w:pPr>
              <w:keepNext w:val="0"/>
              <w:keepLines w:val="0"/>
              <w:pageBreakBefore w:val="0"/>
              <w:widowControl/>
              <w:kinsoku/>
              <w:overflowPunct/>
              <w:topLinePunct w:val="0"/>
              <w:bidi w:val="0"/>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766" w:type="dxa"/>
            <w:tcMar>
              <w:top w:w="0" w:type="dxa"/>
              <w:left w:w="105" w:type="dxa"/>
              <w:bottom w:w="0" w:type="dxa"/>
              <w:right w:w="105" w:type="dxa"/>
            </w:tcMar>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3.2.2</w:t>
            </w:r>
          </w:p>
        </w:tc>
        <w:tc>
          <w:tcPr>
            <w:tcW w:w="7194" w:type="dxa"/>
            <w:tcMar>
              <w:top w:w="0" w:type="dxa"/>
              <w:left w:w="105" w:type="dxa"/>
              <w:bottom w:w="0" w:type="dxa"/>
              <w:right w:w="105" w:type="dxa"/>
            </w:tcMar>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是否接受联合体形式的响应谈判：</w:t>
            </w:r>
            <w:r>
              <w:rPr>
                <w:rFonts w:hint="eastAsia" w:ascii="宋体" w:hAnsi="宋体" w:eastAsia="宋体" w:cs="宋体"/>
                <w:color w:val="auto"/>
                <w:kern w:val="0"/>
                <w:sz w:val="24"/>
                <w:szCs w:val="24"/>
                <w:u w:val="singl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trPr>
        <w:tc>
          <w:tcPr>
            <w:tcW w:w="526" w:type="dxa"/>
            <w:tcMar>
              <w:top w:w="0" w:type="dxa"/>
              <w:left w:w="105" w:type="dxa"/>
              <w:bottom w:w="0" w:type="dxa"/>
              <w:right w:w="105" w:type="dxa"/>
            </w:tcMar>
            <w:vAlign w:val="center"/>
          </w:tcPr>
          <w:p>
            <w:pPr>
              <w:keepNext w:val="0"/>
              <w:keepLines w:val="0"/>
              <w:pageBreakBefore w:val="0"/>
              <w:widowControl/>
              <w:kinsoku/>
              <w:overflowPunct/>
              <w:topLinePunct w:val="0"/>
              <w:bidi w:val="0"/>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766" w:type="dxa"/>
            <w:tcMar>
              <w:top w:w="0" w:type="dxa"/>
              <w:left w:w="105" w:type="dxa"/>
              <w:bottom w:w="0" w:type="dxa"/>
              <w:right w:w="105" w:type="dxa"/>
            </w:tcMar>
            <w:vAlign w:val="center"/>
          </w:tcPr>
          <w:p>
            <w:pPr>
              <w:keepNext w:val="0"/>
              <w:keepLines w:val="0"/>
              <w:pageBreakBefore w:val="0"/>
              <w:widowControl/>
              <w:kinsoku/>
              <w:wordWrap w:val="0"/>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9.1</w:t>
            </w:r>
          </w:p>
        </w:tc>
        <w:tc>
          <w:tcPr>
            <w:tcW w:w="7194" w:type="dxa"/>
            <w:tcMar>
              <w:top w:w="0" w:type="dxa"/>
              <w:left w:w="105" w:type="dxa"/>
              <w:bottom w:w="0" w:type="dxa"/>
              <w:right w:w="105" w:type="dxa"/>
            </w:tcMar>
            <w:vAlign w:val="center"/>
          </w:tcPr>
          <w:p>
            <w:pPr>
              <w:keepNext w:val="0"/>
              <w:keepLines w:val="0"/>
              <w:pageBreakBefore w:val="0"/>
              <w:widowControl/>
              <w:kinsoku/>
              <w:wordWrap w:val="0"/>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响应文件有效期：</w:t>
            </w:r>
            <w:r>
              <w:rPr>
                <w:rFonts w:hint="eastAsia" w:ascii="宋体" w:hAnsi="宋体" w:eastAsia="宋体" w:cs="宋体"/>
                <w:color w:val="auto"/>
                <w:kern w:val="0"/>
                <w:sz w:val="24"/>
                <w:szCs w:val="24"/>
              </w:rPr>
              <w:t>首次响应文件提交截止时间起90个日历日。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blCellSpacing w:w="15" w:type="dxa"/>
        </w:trPr>
        <w:tc>
          <w:tcPr>
            <w:tcW w:w="526" w:type="dxa"/>
            <w:tcMar>
              <w:top w:w="0" w:type="dxa"/>
              <w:left w:w="105" w:type="dxa"/>
              <w:bottom w:w="0" w:type="dxa"/>
              <w:right w:w="105" w:type="dxa"/>
            </w:tcMar>
            <w:vAlign w:val="center"/>
          </w:tcPr>
          <w:p>
            <w:pPr>
              <w:keepNext w:val="0"/>
              <w:keepLines w:val="0"/>
              <w:pageBreakBefore w:val="0"/>
              <w:widowControl/>
              <w:kinsoku/>
              <w:wordWrap w:val="0"/>
              <w:overflowPunct/>
              <w:topLinePunct w:val="0"/>
              <w:bidi w:val="0"/>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766" w:type="dxa"/>
            <w:tcMar>
              <w:top w:w="0" w:type="dxa"/>
              <w:left w:w="105" w:type="dxa"/>
              <w:bottom w:w="0" w:type="dxa"/>
              <w:right w:w="105" w:type="dxa"/>
            </w:tcMar>
            <w:vAlign w:val="center"/>
          </w:tcPr>
          <w:p>
            <w:pPr>
              <w:keepNext w:val="0"/>
              <w:keepLines w:val="0"/>
              <w:pageBreakBefore w:val="0"/>
              <w:widowControl/>
              <w:kinsoku/>
              <w:wordWrap w:val="0"/>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10.1</w:t>
            </w:r>
          </w:p>
        </w:tc>
        <w:tc>
          <w:tcPr>
            <w:tcW w:w="7194" w:type="dxa"/>
            <w:tcMar>
              <w:top w:w="0" w:type="dxa"/>
              <w:left w:w="105" w:type="dxa"/>
              <w:bottom w:w="0" w:type="dxa"/>
              <w:right w:w="105" w:type="dxa"/>
            </w:tcMa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ascii="宋体" w:hAnsi="宋体" w:eastAsia="宋体" w:cs="宋体"/>
                <w:b/>
                <w:bCs/>
                <w:color w:val="auto"/>
                <w:kern w:val="0"/>
                <w:sz w:val="24"/>
                <w:szCs w:val="24"/>
              </w:rPr>
              <w:t>提交谈判保证金：</w:t>
            </w:r>
          </w:p>
          <w:p>
            <w:pPr>
              <w:keepNext w:val="0"/>
              <w:keepLines w:val="0"/>
              <w:pageBreakBefore w:val="0"/>
              <w:widowControl/>
              <w:kinsoku/>
              <w:overflowPunct/>
              <w:topLinePunct w:val="0"/>
              <w:bidi w:val="0"/>
              <w:spacing w:line="360" w:lineRule="auto"/>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无。</w:t>
            </w:r>
          </w:p>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ascii="宋体" w:hAnsi="宋体" w:eastAsia="宋体" w:cs="宋体"/>
                <w:color w:val="auto"/>
                <w:kern w:val="0"/>
                <w:sz w:val="24"/>
                <w:szCs w:val="24"/>
              </w:rPr>
              <w:t>其他约定：无。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blCellSpacing w:w="15" w:type="dxa"/>
        </w:trPr>
        <w:tc>
          <w:tcPr>
            <w:tcW w:w="526" w:type="dxa"/>
            <w:tcMar>
              <w:top w:w="0" w:type="dxa"/>
              <w:left w:w="105" w:type="dxa"/>
              <w:bottom w:w="0" w:type="dxa"/>
              <w:right w:w="105" w:type="dxa"/>
            </w:tcMar>
            <w:vAlign w:val="center"/>
          </w:tcPr>
          <w:p>
            <w:pPr>
              <w:keepNext w:val="0"/>
              <w:keepLines w:val="0"/>
              <w:pageBreakBefore w:val="0"/>
              <w:widowControl/>
              <w:kinsoku/>
              <w:overflowPunct/>
              <w:topLinePunct w:val="0"/>
              <w:bidi w:val="0"/>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766" w:type="dxa"/>
            <w:tcMar>
              <w:top w:w="0" w:type="dxa"/>
              <w:left w:w="105" w:type="dxa"/>
              <w:bottom w:w="0" w:type="dxa"/>
              <w:right w:w="105" w:type="dxa"/>
            </w:tcMar>
            <w:vAlign w:val="center"/>
          </w:tcPr>
          <w:p>
            <w:pPr>
              <w:keepNext w:val="0"/>
              <w:keepLines w:val="0"/>
              <w:pageBreakBefore w:val="0"/>
              <w:widowControl/>
              <w:kinsoku/>
              <w:wordWrap w:val="0"/>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10.3.1</w:t>
            </w:r>
          </w:p>
        </w:tc>
        <w:tc>
          <w:tcPr>
            <w:tcW w:w="7194" w:type="dxa"/>
            <w:tcMar>
              <w:top w:w="0" w:type="dxa"/>
              <w:left w:w="105" w:type="dxa"/>
              <w:bottom w:w="0" w:type="dxa"/>
              <w:right w:w="105" w:type="dxa"/>
            </w:tcMar>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谈判保证金退还的其它要求：</w:t>
            </w:r>
            <w:r>
              <w:rPr>
                <w:rFonts w:hint="eastAsia" w:ascii="宋体" w:hAnsi="宋体" w:eastAsia="宋体" w:cs="宋体"/>
                <w:color w:val="auto"/>
                <w:kern w:val="0"/>
                <w:sz w:val="24"/>
                <w:szCs w:val="24"/>
                <w:u w:val="single"/>
              </w:rPr>
              <w:t>无</w:t>
            </w:r>
            <w:r>
              <w:rPr>
                <w:rFonts w:hint="eastAsia" w:ascii="宋体" w:hAnsi="宋体" w:eastAsia="宋体" w:cs="宋体"/>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blCellSpacing w:w="15" w:type="dxa"/>
        </w:trPr>
        <w:tc>
          <w:tcPr>
            <w:tcW w:w="526" w:type="dxa"/>
            <w:tcMar>
              <w:top w:w="0" w:type="dxa"/>
              <w:left w:w="105" w:type="dxa"/>
              <w:bottom w:w="0" w:type="dxa"/>
              <w:right w:w="105" w:type="dxa"/>
            </w:tcMar>
            <w:vAlign w:val="center"/>
          </w:tcPr>
          <w:p>
            <w:pPr>
              <w:keepNext w:val="0"/>
              <w:keepLines w:val="0"/>
              <w:pageBreakBefore w:val="0"/>
              <w:widowControl/>
              <w:kinsoku/>
              <w:overflowPunct/>
              <w:topLinePunct w:val="0"/>
              <w:bidi w:val="0"/>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766" w:type="dxa"/>
            <w:tcMar>
              <w:top w:w="0" w:type="dxa"/>
              <w:left w:w="105" w:type="dxa"/>
              <w:bottom w:w="0" w:type="dxa"/>
              <w:right w:w="105" w:type="dxa"/>
            </w:tcMar>
            <w:vAlign w:val="center"/>
          </w:tcPr>
          <w:p>
            <w:pPr>
              <w:keepNext w:val="0"/>
              <w:keepLines w:val="0"/>
              <w:pageBreakBefore w:val="0"/>
              <w:widowControl/>
              <w:kinsoku/>
              <w:wordWrap w:val="0"/>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11.1</w:t>
            </w:r>
          </w:p>
        </w:tc>
        <w:tc>
          <w:tcPr>
            <w:tcW w:w="7194" w:type="dxa"/>
            <w:tcMar>
              <w:top w:w="0" w:type="dxa"/>
              <w:left w:w="105" w:type="dxa"/>
              <w:bottom w:w="0" w:type="dxa"/>
              <w:right w:w="105" w:type="dxa"/>
            </w:tcMar>
            <w:vAlign w:val="center"/>
          </w:tcPr>
          <w:p>
            <w:pPr>
              <w:keepNext w:val="0"/>
              <w:keepLines w:val="0"/>
              <w:pageBreakBefore w:val="0"/>
              <w:widowControl/>
              <w:kinsoku/>
              <w:wordWrap w:val="0"/>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响应文件的份数</w:t>
            </w:r>
          </w:p>
          <w:p>
            <w:pPr>
              <w:keepNext w:val="0"/>
              <w:keepLines w:val="0"/>
              <w:pageBreakBefore w:val="0"/>
              <w:widowControl/>
              <w:kinsoku/>
              <w:wordWrap w:val="0"/>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（1）纸质响应文件 </w:t>
            </w:r>
          </w:p>
          <w:p>
            <w:pPr>
              <w:keepNext w:val="0"/>
              <w:keepLines w:val="0"/>
              <w:pageBreakBefore w:val="0"/>
              <w:widowControl/>
              <w:kinsoku/>
              <w:wordWrap w:val="0"/>
              <w:overflowPunct/>
              <w:topLinePunct w:val="0"/>
              <w:bidi w:val="0"/>
              <w:spacing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①响应文件正本</w:t>
            </w:r>
            <w:r>
              <w:rPr>
                <w:rFonts w:hint="eastAsia" w:ascii="宋体" w:hAnsi="宋体" w:eastAsia="宋体" w:cs="宋体"/>
                <w:color w:val="auto"/>
                <w:kern w:val="0"/>
                <w:sz w:val="24"/>
                <w:szCs w:val="24"/>
                <w:u w:val="single"/>
              </w:rPr>
              <w:t>1</w:t>
            </w:r>
            <w:r>
              <w:rPr>
                <w:rFonts w:hint="eastAsia" w:ascii="宋体" w:hAnsi="宋体" w:eastAsia="宋体" w:cs="宋体"/>
                <w:color w:val="auto"/>
                <w:kern w:val="0"/>
                <w:sz w:val="24"/>
                <w:szCs w:val="24"/>
              </w:rPr>
              <w:t>份、副本</w:t>
            </w:r>
            <w:r>
              <w:rPr>
                <w:rFonts w:hint="eastAsia" w:ascii="宋体" w:hAnsi="宋体" w:eastAsia="宋体" w:cs="宋体"/>
                <w:color w:val="auto"/>
                <w:kern w:val="0"/>
                <w:sz w:val="24"/>
                <w:szCs w:val="24"/>
                <w:u w:val="single"/>
              </w:rPr>
              <w:t>2</w:t>
            </w:r>
            <w:r>
              <w:rPr>
                <w:rFonts w:hint="eastAsia" w:ascii="宋体" w:hAnsi="宋体" w:eastAsia="宋体" w:cs="宋体"/>
                <w:color w:val="auto"/>
                <w:kern w:val="0"/>
                <w:sz w:val="24"/>
                <w:szCs w:val="24"/>
              </w:rPr>
              <w:t>份。</w:t>
            </w:r>
          </w:p>
          <w:p>
            <w:pPr>
              <w:keepNext w:val="0"/>
              <w:keepLines w:val="0"/>
              <w:pageBreakBefore w:val="0"/>
              <w:widowControl/>
              <w:kinsoku/>
              <w:wordWrap w:val="0"/>
              <w:overflowPunct/>
              <w:topLinePunct w:val="0"/>
              <w:bidi w:val="0"/>
              <w:spacing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②可读介质（光盘或U盘）</w:t>
            </w:r>
            <w:r>
              <w:rPr>
                <w:rFonts w:hint="eastAsia" w:ascii="宋体" w:hAnsi="宋体" w:eastAsia="宋体" w:cs="宋体"/>
                <w:color w:val="auto"/>
                <w:kern w:val="0"/>
                <w:sz w:val="24"/>
                <w:szCs w:val="24"/>
                <w:u w:val="single"/>
              </w:rPr>
              <w:t>1</w:t>
            </w:r>
            <w:r>
              <w:rPr>
                <w:rFonts w:hint="eastAsia" w:ascii="宋体" w:hAnsi="宋体" w:eastAsia="宋体" w:cs="宋体"/>
                <w:color w:val="auto"/>
                <w:kern w:val="0"/>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blCellSpacing w:w="15" w:type="dxa"/>
        </w:trPr>
        <w:tc>
          <w:tcPr>
            <w:tcW w:w="526" w:type="dxa"/>
            <w:tcMar>
              <w:top w:w="0" w:type="dxa"/>
              <w:left w:w="105" w:type="dxa"/>
              <w:bottom w:w="0" w:type="dxa"/>
              <w:right w:w="105" w:type="dxa"/>
            </w:tcMar>
            <w:vAlign w:val="center"/>
          </w:tcPr>
          <w:p>
            <w:pPr>
              <w:keepNext w:val="0"/>
              <w:keepLines w:val="0"/>
              <w:pageBreakBefore w:val="0"/>
              <w:widowControl/>
              <w:kinsoku/>
              <w:overflowPunct/>
              <w:topLinePunct w:val="0"/>
              <w:bidi w:val="0"/>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766" w:type="dxa"/>
            <w:tcMar>
              <w:top w:w="0" w:type="dxa"/>
              <w:left w:w="105" w:type="dxa"/>
              <w:bottom w:w="0" w:type="dxa"/>
              <w:right w:w="105" w:type="dxa"/>
            </w:tcMar>
            <w:vAlign w:val="center"/>
          </w:tcPr>
          <w:p>
            <w:pPr>
              <w:keepNext w:val="0"/>
              <w:keepLines w:val="0"/>
              <w:pageBreakBefore w:val="0"/>
              <w:widowControl/>
              <w:kinsoku/>
              <w:wordWrap w:val="0"/>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14.4</w:t>
            </w:r>
          </w:p>
        </w:tc>
        <w:tc>
          <w:tcPr>
            <w:tcW w:w="7194" w:type="dxa"/>
            <w:tcMar>
              <w:top w:w="0" w:type="dxa"/>
              <w:left w:w="105" w:type="dxa"/>
              <w:bottom w:w="0" w:type="dxa"/>
              <w:right w:w="105" w:type="dxa"/>
            </w:tcMa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谈判过程中可能发生实质性变动的内容：</w:t>
            </w:r>
            <w:r>
              <w:rPr>
                <w:rFonts w:hint="eastAsia" w:ascii="宋体" w:hAnsi="宋体" w:eastAsia="宋体" w:cs="宋体"/>
                <w:color w:val="auto"/>
                <w:kern w:val="0"/>
                <w:sz w:val="24"/>
                <w:szCs w:val="24"/>
                <w:u w:val="single"/>
              </w:rPr>
              <w:t>无</w:t>
            </w:r>
            <w:r>
              <w:rPr>
                <w:rFonts w:hint="eastAsia" w:ascii="宋体" w:hAnsi="宋体" w:eastAsia="宋体" w:cs="宋体"/>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9" w:hRule="atLeast"/>
          <w:tblCellSpacing w:w="15" w:type="dxa"/>
        </w:trPr>
        <w:tc>
          <w:tcPr>
            <w:tcW w:w="526" w:type="dxa"/>
            <w:tcMar>
              <w:top w:w="0" w:type="dxa"/>
              <w:left w:w="105" w:type="dxa"/>
              <w:bottom w:w="0" w:type="dxa"/>
              <w:right w:w="105" w:type="dxa"/>
            </w:tcMar>
            <w:vAlign w:val="center"/>
          </w:tcPr>
          <w:p>
            <w:pPr>
              <w:keepNext w:val="0"/>
              <w:keepLines w:val="0"/>
              <w:pageBreakBefore w:val="0"/>
              <w:widowControl/>
              <w:kinsoku/>
              <w:overflowPunct/>
              <w:topLinePunct w:val="0"/>
              <w:bidi w:val="0"/>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766" w:type="dxa"/>
            <w:tcMar>
              <w:top w:w="0" w:type="dxa"/>
              <w:left w:w="105" w:type="dxa"/>
              <w:bottom w:w="0" w:type="dxa"/>
              <w:right w:w="105" w:type="dxa"/>
            </w:tcMar>
            <w:vAlign w:val="center"/>
          </w:tcPr>
          <w:p>
            <w:pPr>
              <w:keepNext w:val="0"/>
              <w:keepLines w:val="0"/>
              <w:pageBreakBefore w:val="0"/>
              <w:widowControl/>
              <w:kinsoku/>
              <w:wordWrap w:val="0"/>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22.2</w:t>
            </w:r>
          </w:p>
        </w:tc>
        <w:tc>
          <w:tcPr>
            <w:tcW w:w="7194" w:type="dxa"/>
            <w:tcMar>
              <w:top w:w="0" w:type="dxa"/>
              <w:left w:w="105" w:type="dxa"/>
              <w:bottom w:w="0" w:type="dxa"/>
              <w:right w:w="105" w:type="dxa"/>
            </w:tcMar>
            <w:vAlign w:val="center"/>
          </w:tcPr>
          <w:p>
            <w:pPr>
              <w:keepNext w:val="0"/>
              <w:keepLines w:val="0"/>
              <w:pageBreakBefore w:val="0"/>
              <w:widowControl/>
              <w:kinsoku/>
              <w:wordWrap w:val="0"/>
              <w:overflowPunct/>
              <w:topLinePunct w:val="0"/>
              <w:bidi w:val="0"/>
              <w:spacing w:line="360" w:lineRule="auto"/>
              <w:jc w:val="both"/>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信息公告指定媒体（以下简称：“指定媒体”）：</w:t>
            </w:r>
          </w:p>
          <w:p>
            <w:pPr>
              <w:keepNext w:val="0"/>
              <w:keepLines w:val="0"/>
              <w:pageBreakBefore w:val="0"/>
              <w:widowControl/>
              <w:kinsoku/>
              <w:wordWrap w:val="0"/>
              <w:overflowPunct/>
              <w:topLinePunct w:val="0"/>
              <w:bidi w:val="0"/>
              <w:spacing w:line="360" w:lineRule="auto"/>
              <w:jc w:val="both"/>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中国政府采购网，网址www.ccgp.gov.cn。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blCellSpacing w:w="15" w:type="dxa"/>
        </w:trPr>
        <w:tc>
          <w:tcPr>
            <w:tcW w:w="526" w:type="dxa"/>
            <w:tcMar>
              <w:top w:w="0" w:type="dxa"/>
              <w:left w:w="105" w:type="dxa"/>
              <w:bottom w:w="0" w:type="dxa"/>
              <w:right w:w="105" w:type="dxa"/>
            </w:tcMar>
            <w:vAlign w:val="center"/>
          </w:tcPr>
          <w:p>
            <w:pPr>
              <w:keepNext w:val="0"/>
              <w:keepLines w:val="0"/>
              <w:pageBreakBefore w:val="0"/>
              <w:widowControl/>
              <w:kinsoku/>
              <w:overflowPunct/>
              <w:topLinePunct w:val="0"/>
              <w:bidi w:val="0"/>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766" w:type="dxa"/>
            <w:tcMar>
              <w:top w:w="0" w:type="dxa"/>
              <w:left w:w="105" w:type="dxa"/>
              <w:bottom w:w="0" w:type="dxa"/>
              <w:right w:w="105" w:type="dxa"/>
            </w:tcMar>
            <w:vAlign w:val="center"/>
          </w:tcPr>
          <w:p>
            <w:pPr>
              <w:keepNext w:val="0"/>
              <w:keepLines w:val="0"/>
              <w:pageBreakBefore w:val="0"/>
              <w:widowControl/>
              <w:kinsoku/>
              <w:wordWrap w:val="0"/>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23.1</w:t>
            </w:r>
          </w:p>
        </w:tc>
        <w:tc>
          <w:tcPr>
            <w:tcW w:w="7194" w:type="dxa"/>
            <w:tcMar>
              <w:top w:w="0" w:type="dxa"/>
              <w:left w:w="105" w:type="dxa"/>
              <w:bottom w:w="0" w:type="dxa"/>
              <w:right w:w="105" w:type="dxa"/>
            </w:tcMar>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本项目监督管理部门：</w:t>
            </w:r>
          </w:p>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lang w:eastAsia="zh-CN"/>
              </w:rPr>
              <w:t>泉州师范学院</w:t>
            </w:r>
            <w:r>
              <w:rPr>
                <w:rFonts w:hint="eastAsia" w:ascii="宋体" w:hAnsi="宋体" w:eastAsia="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blCellSpacing w:w="15" w:type="dxa"/>
        </w:trPr>
        <w:tc>
          <w:tcPr>
            <w:tcW w:w="526" w:type="dxa"/>
            <w:tcMar>
              <w:top w:w="0" w:type="dxa"/>
              <w:left w:w="105" w:type="dxa"/>
              <w:bottom w:w="0" w:type="dxa"/>
              <w:right w:w="105" w:type="dxa"/>
            </w:tcMar>
            <w:vAlign w:val="center"/>
          </w:tcPr>
          <w:p>
            <w:pPr>
              <w:keepNext w:val="0"/>
              <w:keepLines w:val="0"/>
              <w:pageBreakBefore w:val="0"/>
              <w:widowControl/>
              <w:kinsoku/>
              <w:overflowPunct/>
              <w:topLinePunct w:val="0"/>
              <w:bidi w:val="0"/>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766" w:type="dxa"/>
            <w:tcMar>
              <w:top w:w="0" w:type="dxa"/>
              <w:left w:w="105" w:type="dxa"/>
              <w:bottom w:w="0" w:type="dxa"/>
              <w:right w:w="105" w:type="dxa"/>
            </w:tcMar>
            <w:vAlign w:val="center"/>
          </w:tcPr>
          <w:p>
            <w:pPr>
              <w:keepNext w:val="0"/>
              <w:keepLines w:val="0"/>
              <w:pageBreakBefore w:val="0"/>
              <w:widowControl/>
              <w:kinsoku/>
              <w:wordWrap w:val="0"/>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24.1</w:t>
            </w:r>
          </w:p>
        </w:tc>
        <w:tc>
          <w:tcPr>
            <w:tcW w:w="7194" w:type="dxa"/>
            <w:tcMar>
              <w:top w:w="0" w:type="dxa"/>
              <w:left w:w="105" w:type="dxa"/>
              <w:bottom w:w="0" w:type="dxa"/>
              <w:right w:w="105" w:type="dxa"/>
            </w:tcMar>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履约保证金：</w:t>
            </w:r>
          </w:p>
          <w:tbl>
            <w:tblPr>
              <w:tblStyle w:val="10"/>
              <w:tblW w:w="6954"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91"/>
              <w:gridCol w:w="1391"/>
              <w:gridCol w:w="4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391" w:type="dxa"/>
                  <w:vAlign w:val="center"/>
                </w:tcPr>
                <w:p>
                  <w:pPr>
                    <w:keepNext w:val="0"/>
                    <w:keepLines w:val="0"/>
                    <w:pageBreakBefore w:val="0"/>
                    <w:widowControl/>
                    <w:kinsoku/>
                    <w:overflowPunct/>
                    <w:topLinePunct w:val="0"/>
                    <w:bidi w:val="0"/>
                    <w:spacing w:line="360" w:lineRule="auto"/>
                    <w:jc w:val="center"/>
                    <w:textAlignment w:val="auto"/>
                    <w:rPr>
                      <w:rFonts w:ascii="宋体" w:hAnsi="宋体" w:eastAsia="宋体" w:cs="宋体"/>
                      <w:b/>
                      <w:color w:val="auto"/>
                    </w:rPr>
                  </w:pPr>
                  <w:r>
                    <w:rPr>
                      <w:rFonts w:hint="eastAsia" w:ascii="宋体" w:hAnsi="宋体" w:eastAsia="宋体" w:cs="宋体"/>
                      <w:b/>
                      <w:color w:val="auto"/>
                      <w:kern w:val="0"/>
                      <w:sz w:val="24"/>
                      <w:szCs w:val="24"/>
                    </w:rPr>
                    <w:t>包号</w:t>
                  </w:r>
                </w:p>
              </w:tc>
              <w:tc>
                <w:tcPr>
                  <w:tcW w:w="1391" w:type="dxa"/>
                  <w:vAlign w:val="center"/>
                </w:tcPr>
                <w:p>
                  <w:pPr>
                    <w:keepNext w:val="0"/>
                    <w:keepLines w:val="0"/>
                    <w:pageBreakBefore w:val="0"/>
                    <w:widowControl/>
                    <w:kinsoku/>
                    <w:overflowPunct/>
                    <w:topLinePunct w:val="0"/>
                    <w:bidi w:val="0"/>
                    <w:spacing w:line="360" w:lineRule="auto"/>
                    <w:jc w:val="center"/>
                    <w:textAlignment w:val="auto"/>
                    <w:rPr>
                      <w:rFonts w:ascii="宋体" w:hAnsi="宋体" w:eastAsia="宋体" w:cs="宋体"/>
                      <w:b/>
                      <w:color w:val="auto"/>
                    </w:rPr>
                  </w:pPr>
                  <w:r>
                    <w:rPr>
                      <w:rFonts w:hint="eastAsia" w:ascii="宋体" w:hAnsi="宋体" w:eastAsia="宋体" w:cs="宋体"/>
                      <w:b/>
                      <w:color w:val="auto"/>
                      <w:kern w:val="0"/>
                      <w:sz w:val="24"/>
                      <w:szCs w:val="24"/>
                    </w:rPr>
                    <w:t>履约保证金比例</w:t>
                  </w:r>
                </w:p>
              </w:tc>
              <w:tc>
                <w:tcPr>
                  <w:tcW w:w="4172" w:type="dxa"/>
                  <w:vAlign w:val="center"/>
                </w:tcPr>
                <w:p>
                  <w:pPr>
                    <w:keepNext w:val="0"/>
                    <w:keepLines w:val="0"/>
                    <w:pageBreakBefore w:val="0"/>
                    <w:widowControl/>
                    <w:kinsoku/>
                    <w:overflowPunct/>
                    <w:topLinePunct w:val="0"/>
                    <w:bidi w:val="0"/>
                    <w:spacing w:line="360" w:lineRule="auto"/>
                    <w:jc w:val="center"/>
                    <w:textAlignment w:val="auto"/>
                    <w:rPr>
                      <w:rFonts w:ascii="宋体" w:hAnsi="宋体" w:eastAsia="宋体" w:cs="宋体"/>
                      <w:b/>
                      <w:color w:val="auto"/>
                    </w:rPr>
                  </w:pPr>
                  <w:r>
                    <w:rPr>
                      <w:rFonts w:hint="eastAsia" w:ascii="宋体" w:hAnsi="宋体" w:eastAsia="宋体" w:cs="宋体"/>
                      <w:b/>
                      <w:color w:val="auto"/>
                      <w:kern w:val="0"/>
                      <w:sz w:val="24"/>
                      <w:szCs w:val="24"/>
                    </w:rPr>
                    <w:t>履约保证金说明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391" w:type="dxa"/>
                  <w:vAlign w:val="center"/>
                </w:tcPr>
                <w:p>
                  <w:pPr>
                    <w:keepNext w:val="0"/>
                    <w:keepLines w:val="0"/>
                    <w:pageBreakBefore w:val="0"/>
                    <w:widowControl/>
                    <w:kinsoku/>
                    <w:overflowPunct/>
                    <w:topLinePunct w:val="0"/>
                    <w:bidi w:val="0"/>
                    <w:spacing w:line="360" w:lineRule="auto"/>
                    <w:jc w:val="center"/>
                    <w:textAlignment w:val="auto"/>
                    <w:rPr>
                      <w:rFonts w:ascii="宋体" w:hAnsi="宋体" w:eastAsia="宋体" w:cs="宋体"/>
                      <w:color w:val="auto"/>
                    </w:rPr>
                  </w:pPr>
                  <w:r>
                    <w:rPr>
                      <w:rFonts w:hint="eastAsia" w:ascii="宋体" w:hAnsi="宋体" w:eastAsia="宋体" w:cs="宋体"/>
                      <w:color w:val="auto"/>
                      <w:kern w:val="0"/>
                      <w:sz w:val="24"/>
                      <w:szCs w:val="24"/>
                    </w:rPr>
                    <w:t>1</w:t>
                  </w:r>
                </w:p>
              </w:tc>
              <w:tc>
                <w:tcPr>
                  <w:tcW w:w="1391" w:type="dxa"/>
                  <w:vAlign w:val="center"/>
                </w:tcPr>
                <w:p>
                  <w:pPr>
                    <w:keepNext w:val="0"/>
                    <w:keepLines w:val="0"/>
                    <w:pageBreakBefore w:val="0"/>
                    <w:widowControl/>
                    <w:kinsoku/>
                    <w:overflowPunct/>
                    <w:topLinePunct w:val="0"/>
                    <w:bidi w:val="0"/>
                    <w:spacing w:line="360" w:lineRule="auto"/>
                    <w:jc w:val="center"/>
                    <w:textAlignment w:val="auto"/>
                    <w:rPr>
                      <w:rFonts w:ascii="宋体" w:hAnsi="宋体" w:eastAsia="宋体" w:cs="宋体"/>
                      <w:color w:val="auto"/>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w:t>
                  </w:r>
                </w:p>
              </w:tc>
              <w:tc>
                <w:tcPr>
                  <w:tcW w:w="4172" w:type="dxa"/>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rPr>
                  </w:pPr>
                  <w:r>
                    <w:rPr>
                      <w:rFonts w:ascii="宋体" w:hAnsi="宋体" w:eastAsia="宋体" w:cs="宋体"/>
                      <w:color w:val="auto"/>
                      <w:sz w:val="24"/>
                      <w:szCs w:val="24"/>
                    </w:rPr>
                    <w:t>（1）</w:t>
                  </w:r>
                  <w:r>
                    <w:rPr>
                      <w:rFonts w:hint="eastAsia" w:ascii="宋体" w:hAnsi="宋体" w:eastAsia="宋体" w:cs="宋体"/>
                      <w:color w:val="auto"/>
                      <w:sz w:val="24"/>
                      <w:szCs w:val="24"/>
                    </w:rPr>
                    <w:t>中标供应商在与采购人签订合同前，应向采购人提交按</w:t>
                  </w:r>
                  <w:r>
                    <w:rPr>
                      <w:rFonts w:hint="eastAsia" w:ascii="宋体" w:hAnsi="宋体" w:eastAsia="宋体" w:cs="宋体"/>
                      <w:color w:val="auto"/>
                      <w:sz w:val="24"/>
                      <w:szCs w:val="24"/>
                      <w:lang w:eastAsia="zh-CN"/>
                    </w:rPr>
                    <w:t>合同价</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3</w:t>
                  </w:r>
                  <w:r>
                    <w:rPr>
                      <w:rFonts w:ascii="宋体" w:hAnsi="宋体" w:eastAsia="宋体" w:cs="宋体"/>
                      <w:color w:val="auto"/>
                      <w:sz w:val="24"/>
                      <w:szCs w:val="24"/>
                    </w:rPr>
                    <w:t>%</w:t>
                  </w:r>
                  <w:r>
                    <w:rPr>
                      <w:rFonts w:hint="eastAsia" w:ascii="宋体" w:hAnsi="宋体" w:eastAsia="宋体" w:cs="宋体"/>
                      <w:color w:val="auto"/>
                      <w:sz w:val="24"/>
                      <w:szCs w:val="24"/>
                    </w:rPr>
                    <w:t>计算的履约保证金</w:t>
                  </w:r>
                  <w:r>
                    <w:rPr>
                      <w:rFonts w:hint="eastAsia" w:ascii="宋体" w:hAnsi="宋体" w:eastAsia="宋体" w:cs="宋体"/>
                      <w:color w:val="auto"/>
                      <w:sz w:val="24"/>
                      <w:szCs w:val="24"/>
                      <w:lang w:eastAsia="zh-CN"/>
                    </w:rPr>
                    <w:t>。</w:t>
                  </w:r>
                  <w:r>
                    <w:rPr>
                      <w:rFonts w:ascii="宋体" w:hAnsi="宋体" w:eastAsia="宋体" w:cs="宋体"/>
                      <w:color w:val="auto"/>
                      <w:sz w:val="24"/>
                      <w:szCs w:val="24"/>
                    </w:rPr>
                    <w:t xml:space="preserve"> （2）</w:t>
                  </w:r>
                  <w:r>
                    <w:rPr>
                      <w:rFonts w:hint="eastAsia" w:ascii="宋体" w:hAnsi="宋体" w:eastAsia="宋体" w:cs="宋体"/>
                      <w:color w:val="auto"/>
                      <w:sz w:val="24"/>
                      <w:szCs w:val="24"/>
                    </w:rPr>
                    <w:t>该履约保证金在正式验收合格后，转为质保金，质保金于设备保修期满（以中标人具体承诺期限为准）后且无质量及售后服务问题时一个月内一次性无息退还。</w:t>
                  </w:r>
                </w:p>
              </w:tc>
            </w:tr>
          </w:tbl>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 w:hRule="atLeast"/>
          <w:tblCellSpacing w:w="15" w:type="dxa"/>
        </w:trPr>
        <w:tc>
          <w:tcPr>
            <w:tcW w:w="526" w:type="dxa"/>
            <w:tcMar>
              <w:top w:w="0" w:type="dxa"/>
              <w:left w:w="105" w:type="dxa"/>
              <w:bottom w:w="0" w:type="dxa"/>
              <w:right w:w="105" w:type="dxa"/>
            </w:tcMar>
            <w:vAlign w:val="center"/>
          </w:tcPr>
          <w:p>
            <w:pPr>
              <w:keepNext w:val="0"/>
              <w:keepLines w:val="0"/>
              <w:pageBreakBefore w:val="0"/>
              <w:widowControl/>
              <w:kinsoku/>
              <w:overflowPunct/>
              <w:topLinePunct w:val="0"/>
              <w:bidi w:val="0"/>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766" w:type="dxa"/>
            <w:tcMar>
              <w:top w:w="0" w:type="dxa"/>
              <w:left w:w="105" w:type="dxa"/>
              <w:bottom w:w="0" w:type="dxa"/>
              <w:right w:w="105" w:type="dxa"/>
            </w:tcMar>
            <w:vAlign w:val="center"/>
          </w:tcPr>
          <w:p>
            <w:pPr>
              <w:keepNext w:val="0"/>
              <w:keepLines w:val="0"/>
              <w:pageBreakBefore w:val="0"/>
              <w:widowControl/>
              <w:kinsoku/>
              <w:wordWrap w:val="0"/>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25</w:t>
            </w:r>
          </w:p>
        </w:tc>
        <w:tc>
          <w:tcPr>
            <w:tcW w:w="7194" w:type="dxa"/>
            <w:tcMar>
              <w:top w:w="0" w:type="dxa"/>
              <w:left w:w="105" w:type="dxa"/>
              <w:bottom w:w="0" w:type="dxa"/>
              <w:right w:w="105" w:type="dxa"/>
            </w:tcMar>
            <w:vAlign w:val="center"/>
          </w:tcPr>
          <w:p>
            <w:pPr>
              <w:keepNext w:val="0"/>
              <w:keepLines w:val="0"/>
              <w:pageBreakBefore w:val="0"/>
              <w:widowControl/>
              <w:kinsoku/>
              <w:wordWrap w:val="0"/>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根据采购项目特点或政策需要补充的其他新增内容：</w:t>
            </w:r>
          </w:p>
          <w:p>
            <w:pPr>
              <w:keepNext w:val="0"/>
              <w:keepLines w:val="0"/>
              <w:pageBreakBefore w:val="0"/>
              <w:widowControl/>
              <w:numPr>
                <w:ilvl w:val="0"/>
                <w:numId w:val="1"/>
              </w:numPr>
              <w:kinsoku/>
              <w:wordWrap w:val="0"/>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本项目代理服务费由</w:t>
            </w:r>
            <w:r>
              <w:rPr>
                <w:rFonts w:hint="eastAsia" w:ascii="宋体" w:hAnsi="宋体" w:eastAsia="宋体" w:cs="宋体"/>
                <w:color w:val="auto"/>
                <w:kern w:val="0"/>
                <w:sz w:val="24"/>
                <w:szCs w:val="24"/>
                <w:u w:val="single"/>
              </w:rPr>
              <w:t>成交供应商</w:t>
            </w:r>
            <w:r>
              <w:rPr>
                <w:rFonts w:hint="eastAsia" w:ascii="宋体" w:hAnsi="宋体" w:eastAsia="宋体" w:cs="宋体"/>
                <w:color w:val="auto"/>
                <w:kern w:val="0"/>
                <w:sz w:val="24"/>
                <w:szCs w:val="24"/>
              </w:rPr>
              <w:t>支付。</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(2)其他：1.本项目招标代 理服务费由成交供应商支付，收费标准按照中标（成交）金额，以差额定率累进法计算收取，费率为100万以下按1.</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w:t>
            </w:r>
            <w:r>
              <w:rPr>
                <w:rFonts w:ascii="宋体" w:hAnsi="宋体" w:eastAsia="宋体" w:cs="宋体"/>
                <w:color w:val="auto"/>
                <w:spacing w:val="0"/>
                <w:sz w:val="24"/>
                <w:szCs w:val="24"/>
              </w:rPr>
              <w:t>（如若招标代理服务费不足3000元，则按3000元计取）</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2.其他费用由成交供应商按实支付</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 xml:space="preserve"> 3.招标代理服务费及专家评审费用缴交账户: 开户行：中国建设银行股份有限公司泉州丰泽支行， 开户名：福建丰盛项目管理有限公司。 账号：35050165600700001403</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竞争性谈判文件补充条款【与竞争性谈判文件其它地方有区别的，以本条为准】：“（1）“ 财务状况报告（财务审计报告、或资信证明、或投标担保函）”的补充说明：鉴于目前开户银行许可证已停止发放，供应商选择提供资信证明的，采购文件中涉及提供开户（基本存款账户）许可证要求的条款修改为“应附上其开户（基本存款账户）许可证复印件或基本开户银行出具的《基本存款账户信息》。（2）法定条件中“信用记录查询”的补充说明：在资格审查当日评审小组通过“信用中国”网站（www.creditchina.gov.cn）、中国政府采购网（www.ccgp.gov.cn）查询并打印供应商信用记录。若发现供应商参加本项目采购活动(投标截止时间止)前三年内被列入失信被执行人名单、重大税收违法案件当事人名单、政府采购严重违法失信行为记录名单，受到政府采购行政处罚（存在被拒绝参与政府采购活动相关信息的），且相关信用惩戒期限未满，以及其他不符合《中华人民共和国政府采购法》第二十二条规定条件的供应商，其资格审查不合格。 取消采购文件中涉及供应商需提供信用记录查询相关文件要求的条款，供应商无需再提供。”</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质疑函递交地点：福建省泉州市丰泽区坪山路255号泉州理工职业学院思恩楼6楼601。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26" w:type="dxa"/>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766" w:type="dxa"/>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p>
        </w:tc>
        <w:tc>
          <w:tcPr>
            <w:tcW w:w="7194" w:type="dxa"/>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是否组织现场考察或召开开标前答疑会：</w:t>
            </w:r>
            <w:r>
              <w:rPr>
                <w:rFonts w:hint="eastAsia" w:ascii="宋体" w:hAnsi="宋体" w:eastAsia="宋体" w:cs="宋体"/>
                <w:b/>
                <w:bCs/>
                <w:color w:val="auto"/>
                <w:kern w:val="0"/>
                <w:sz w:val="24"/>
                <w:szCs w:val="24"/>
                <w:u w:val="single"/>
              </w:rPr>
              <w:t>否</w:t>
            </w:r>
            <w:r>
              <w:rPr>
                <w:rFonts w:hint="eastAsia" w:ascii="宋体" w:hAnsi="宋体" w:eastAsia="宋体" w:cs="宋体"/>
                <w:color w:val="auto"/>
                <w:kern w:val="0"/>
                <w:sz w:val="24"/>
                <w:szCs w:val="24"/>
              </w:rPr>
              <w:t>。</w:t>
            </w:r>
          </w:p>
        </w:tc>
      </w:tr>
    </w:tbl>
    <w:p>
      <w:pPr>
        <w:keepNext w:val="0"/>
        <w:keepLines w:val="0"/>
        <w:pageBreakBefore w:val="0"/>
        <w:kinsoku/>
        <w:overflowPunct/>
        <w:topLinePunct w:val="0"/>
        <w:bidi w:val="0"/>
        <w:spacing w:line="360" w:lineRule="auto"/>
        <w:textAlignment w:val="auto"/>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br w:type="page"/>
      </w:r>
      <w:r>
        <w:rPr>
          <w:rFonts w:hint="eastAsia" w:ascii="宋体" w:hAnsi="宋体" w:eastAsia="宋体" w:cs="宋体"/>
          <w:b/>
          <w:bCs/>
          <w:color w:val="auto"/>
          <w:kern w:val="0"/>
          <w:sz w:val="24"/>
          <w:szCs w:val="24"/>
        </w:rPr>
        <w:t>专项附件：       评定成交的标准和方法</w:t>
      </w:r>
    </w:p>
    <w:p>
      <w:pPr>
        <w:keepNext w:val="0"/>
        <w:keepLines w:val="0"/>
        <w:pageBreakBefore w:val="0"/>
        <w:widowControl/>
        <w:kinsoku/>
        <w:overflowPunct/>
        <w:topLinePunct w:val="0"/>
        <w:bidi w:val="0"/>
        <w:spacing w:before="75" w:after="75" w:line="360" w:lineRule="auto"/>
        <w:jc w:val="center"/>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 </w:t>
      </w:r>
    </w:p>
    <w:p>
      <w:pPr>
        <w:keepNext w:val="0"/>
        <w:keepLines w:val="0"/>
        <w:pageBreakBefore w:val="0"/>
        <w:widowControl/>
        <w:kinsoku/>
        <w:overflowPunct/>
        <w:topLinePunct w:val="0"/>
        <w:bidi w:val="0"/>
        <w:spacing w:before="75" w:after="75" w:line="360" w:lineRule="auto"/>
        <w:jc w:val="center"/>
        <w:textAlignment w:val="auto"/>
        <w:outlineLvl w:val="3"/>
        <w:rPr>
          <w:rFonts w:ascii="宋体" w:hAnsi="宋体" w:eastAsia="宋体" w:cs="宋体"/>
          <w:color w:val="auto"/>
          <w:kern w:val="0"/>
          <w:sz w:val="24"/>
          <w:szCs w:val="24"/>
        </w:rPr>
      </w:pPr>
      <w:r>
        <w:rPr>
          <w:rFonts w:hint="eastAsia" w:ascii="宋体" w:hAnsi="宋体" w:eastAsia="宋体" w:cs="宋体"/>
          <w:b/>
          <w:bCs/>
          <w:color w:val="auto"/>
          <w:kern w:val="0"/>
          <w:sz w:val="24"/>
          <w:szCs w:val="24"/>
        </w:rPr>
        <w:t>一、谈判小组</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1.1采购人根据项目的特点依法组建谈判小组。</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1.2谈判小组由采购人代表和评审专家两部分（以下简称“评委”）共</w:t>
      </w:r>
      <w:r>
        <w:rPr>
          <w:rFonts w:hint="eastAsia" w:ascii="宋体" w:hAnsi="宋体" w:eastAsia="宋体" w:cs="宋体"/>
          <w:color w:val="auto"/>
          <w:kern w:val="0"/>
          <w:sz w:val="24"/>
          <w:szCs w:val="24"/>
          <w:u w:val="single"/>
        </w:rPr>
        <w:t>3</w:t>
      </w:r>
      <w:r>
        <w:rPr>
          <w:rFonts w:hint="eastAsia" w:ascii="宋体" w:hAnsi="宋体" w:eastAsia="宋体" w:cs="宋体"/>
          <w:color w:val="auto"/>
          <w:kern w:val="0"/>
          <w:sz w:val="24"/>
          <w:szCs w:val="24"/>
        </w:rPr>
        <w:t>人组成，其中：采购人代表</w:t>
      </w:r>
      <w:r>
        <w:rPr>
          <w:rFonts w:hint="eastAsia" w:ascii="宋体" w:hAnsi="宋体" w:eastAsia="宋体" w:cs="宋体"/>
          <w:color w:val="auto"/>
          <w:kern w:val="0"/>
          <w:sz w:val="24"/>
          <w:szCs w:val="24"/>
          <w:u w:val="single"/>
        </w:rPr>
        <w:t>1</w:t>
      </w:r>
      <w:r>
        <w:rPr>
          <w:rFonts w:hint="eastAsia" w:ascii="宋体" w:hAnsi="宋体" w:eastAsia="宋体" w:cs="宋体"/>
          <w:color w:val="auto"/>
          <w:kern w:val="0"/>
          <w:sz w:val="24"/>
          <w:szCs w:val="24"/>
        </w:rPr>
        <w:t>人由采购人派出，评审专家</w:t>
      </w:r>
      <w:r>
        <w:rPr>
          <w:rFonts w:hint="eastAsia" w:ascii="宋体" w:hAnsi="宋体" w:eastAsia="宋体" w:cs="宋体"/>
          <w:color w:val="auto"/>
          <w:kern w:val="0"/>
          <w:sz w:val="24"/>
          <w:szCs w:val="24"/>
          <w:u w:val="single"/>
        </w:rPr>
        <w:t>2</w:t>
      </w:r>
      <w:r>
        <w:rPr>
          <w:rFonts w:hint="eastAsia" w:ascii="宋体" w:hAnsi="宋体" w:eastAsia="宋体" w:cs="宋体"/>
          <w:color w:val="auto"/>
          <w:kern w:val="0"/>
          <w:sz w:val="24"/>
          <w:szCs w:val="24"/>
        </w:rPr>
        <w:t>人由采购评审专家库产生。达到公开招标数额标准的货物或者服务采购项目，或者达到招标规模标准的政府采购工程，竞争性谈判小组应当由5人或以上单数组成。</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1.3谈判小组负责具体谈判和评审事务，并按照下列原则依法独立履行有关职责：</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1.3.1评审应保护国家利益、社会公共利益和各方当事人合法权益，提高采购效益，保证项目质量。</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1.3.2评审应遵循公平、公正、科学、严谨和择优原则。</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1.3.3评审的依据是谈判文件和响应文件，谈判文件中没有规定的评审标准不得作为评审依据。</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1.3.4谈判小组应按照谈判文件规定推荐成交候选供应商或根据采购人的授权确定成交供应商。</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1.3.5评审应遵守下列评审纪律：</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①评审情况不得私自外泄，有关信息由采购人或其委托的代理机构统一对外发布。</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②对采购人或供应商提供的要求保密的资料，不得摘记翻印和外传。</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③不得收受供应商或有关人员的任何礼物，不得串联鼓动其他人袒护某供应商。若与供应商存在利害关系，则应主动声明并回避。</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④全体谈判小组成员应按照谈判文件规定进行评审，一切认定事项应查有实据且不得弄虚作假。</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⑤评审中应充分发扬民主，推荐成交供应商候选人或根据采购人授权确定成交供应商后要服从评审报告。</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※对违反评审纪律的评委，将取消其评委资格，对评审工作造成严重损失者将予以通报批评乃至追究法律责任。</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b/>
          <w:bCs/>
          <w:color w:val="auto"/>
          <w:kern w:val="0"/>
          <w:sz w:val="24"/>
          <w:szCs w:val="24"/>
        </w:rPr>
      </w:pPr>
    </w:p>
    <w:p>
      <w:pPr>
        <w:keepNext w:val="0"/>
        <w:keepLines w:val="0"/>
        <w:pageBreakBefore w:val="0"/>
        <w:widowControl/>
        <w:kinsoku/>
        <w:overflowPunct/>
        <w:topLinePunct w:val="0"/>
        <w:bidi w:val="0"/>
        <w:spacing w:before="75" w:after="75" w:line="360" w:lineRule="auto"/>
        <w:jc w:val="center"/>
        <w:textAlignment w:val="auto"/>
        <w:outlineLvl w:val="3"/>
        <w:rPr>
          <w:rFonts w:ascii="宋体" w:hAnsi="宋体" w:eastAsia="宋体" w:cs="宋体"/>
          <w:color w:val="auto"/>
          <w:kern w:val="0"/>
          <w:sz w:val="24"/>
          <w:szCs w:val="24"/>
        </w:rPr>
      </w:pPr>
      <w:r>
        <w:rPr>
          <w:rFonts w:hint="eastAsia" w:ascii="宋体" w:hAnsi="宋体" w:eastAsia="宋体" w:cs="宋体"/>
          <w:color w:val="auto"/>
          <w:kern w:val="0"/>
          <w:sz w:val="24"/>
          <w:szCs w:val="24"/>
        </w:rPr>
        <w:t>二、</w:t>
      </w:r>
      <w:r>
        <w:rPr>
          <w:rFonts w:hint="eastAsia" w:ascii="宋体" w:hAnsi="宋体" w:eastAsia="宋体" w:cs="宋体"/>
          <w:b/>
          <w:bCs/>
          <w:color w:val="auto"/>
          <w:kern w:val="0"/>
          <w:sz w:val="24"/>
          <w:szCs w:val="24"/>
        </w:rPr>
        <w:t>谈判程序</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2.1谈判程序按照谈判文件第二章第2节“竞争性谈判须知”第14条“谈判程序以及评定成交的标准”的相关条款规定执行。</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2.3只有资格审查和实质性响应审查均合格且按规定提交最后报价的合格供应商才能参加评定成交的最后价格排序和成交候选人推荐。</w:t>
      </w:r>
    </w:p>
    <w:p>
      <w:pPr>
        <w:keepNext w:val="0"/>
        <w:keepLines w:val="0"/>
        <w:pageBreakBefore w:val="0"/>
        <w:widowControl/>
        <w:kinsoku/>
        <w:overflowPunct/>
        <w:topLinePunct w:val="0"/>
        <w:bidi w:val="0"/>
        <w:spacing w:before="75" w:after="75" w:line="360" w:lineRule="auto"/>
        <w:jc w:val="center"/>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 </w:t>
      </w:r>
    </w:p>
    <w:p>
      <w:pPr>
        <w:keepNext w:val="0"/>
        <w:keepLines w:val="0"/>
        <w:pageBreakBefore w:val="0"/>
        <w:widowControl/>
        <w:kinsoku/>
        <w:overflowPunct/>
        <w:topLinePunct w:val="0"/>
        <w:bidi w:val="0"/>
        <w:spacing w:before="75" w:after="75" w:line="360" w:lineRule="auto"/>
        <w:jc w:val="center"/>
        <w:textAlignment w:val="auto"/>
        <w:outlineLvl w:val="3"/>
        <w:rPr>
          <w:rFonts w:ascii="宋体" w:hAnsi="宋体" w:eastAsia="宋体" w:cs="宋体"/>
          <w:color w:val="auto"/>
          <w:kern w:val="0"/>
          <w:sz w:val="24"/>
          <w:szCs w:val="24"/>
        </w:rPr>
      </w:pPr>
      <w:r>
        <w:rPr>
          <w:rFonts w:hint="eastAsia" w:ascii="宋体" w:hAnsi="宋体" w:eastAsia="宋体" w:cs="宋体"/>
          <w:b/>
          <w:bCs/>
          <w:color w:val="auto"/>
          <w:kern w:val="0"/>
          <w:sz w:val="24"/>
          <w:szCs w:val="24"/>
        </w:rPr>
        <w:t>三、最低评审价法和成交候选人推荐</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3.1谈判小组将采用最低评审价法对提交最后报价的合格供应商的响应文件和最后报价进行评审，并推荐成交候选人。如果谈判项目有多个合同包，则按相应合同包分别进行，具体评审的标准和方法如下：</w:t>
      </w:r>
    </w:p>
    <w:p>
      <w:pPr>
        <w:keepNext w:val="0"/>
        <w:keepLines w:val="0"/>
        <w:pageBreakBefore w:val="0"/>
        <w:widowControl/>
        <w:kinsoku/>
        <w:overflowPunct/>
        <w:topLinePunct w:val="0"/>
        <w:bidi w:val="0"/>
        <w:spacing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3.1.1根据财政部及福建省财政厅等有关政府采购文件规定执行价格评审优惠政策，价格扣除规则如下：</w:t>
      </w:r>
    </w:p>
    <w:p>
      <w:pPr>
        <w:keepNext w:val="0"/>
        <w:keepLines w:val="0"/>
        <w:pageBreakBefore w:val="0"/>
        <w:widowControl/>
        <w:kinsoku/>
        <w:overflowPunct/>
        <w:topLinePunct w:val="0"/>
        <w:bidi w:val="0"/>
        <w:spacing w:before="75" w:after="75" w:line="360" w:lineRule="auto"/>
        <w:ind w:firstLine="465"/>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包1:</w:t>
      </w:r>
    </w:p>
    <w:p>
      <w:pPr>
        <w:keepNext w:val="0"/>
        <w:keepLines w:val="0"/>
        <w:pageBreakBefore w:val="0"/>
        <w:widowControl/>
        <w:numPr>
          <w:ilvl w:val="0"/>
          <w:numId w:val="2"/>
        </w:numPr>
        <w:kinsoku/>
        <w:overflowPunct/>
        <w:topLinePunct w:val="0"/>
        <w:bidi w:val="0"/>
        <w:spacing w:before="75" w:after="75" w:line="360" w:lineRule="auto"/>
        <w:ind w:firstLine="465"/>
        <w:jc w:val="left"/>
        <w:textAlignment w:val="auto"/>
        <w:rPr>
          <w:rFonts w:ascii="宋体" w:hAnsi="宋体" w:eastAsia="宋体" w:cs="宋体"/>
          <w:color w:val="auto"/>
          <w:kern w:val="0"/>
          <w:sz w:val="24"/>
          <w:szCs w:val="24"/>
        </w:rPr>
      </w:pPr>
      <w:r>
        <w:rPr>
          <w:rFonts w:ascii="宋体" w:hAnsi="宋体" w:eastAsia="宋体" w:cs="宋体"/>
          <w:color w:val="auto"/>
          <w:kern w:val="0"/>
          <w:sz w:val="24"/>
          <w:szCs w:val="24"/>
        </w:rPr>
        <w:t>1、对小、微企业报价给予 6%（工程项目为 3%）的扣除。 2、联合协议或分包意向协议约定小微企业的合同份额占到合同总金额 30%以上的，对联合体或者大中型企业的报价给予 2%（工程项目为 1%）的扣除。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 10%（工程项目为 3%）的扣除</w:t>
      </w:r>
      <w:r>
        <w:rPr>
          <w:rFonts w:hint="eastAsia" w:ascii="宋体" w:hAnsi="宋体" w:eastAsia="宋体" w:cs="宋体"/>
          <w:color w:val="auto"/>
          <w:kern w:val="0"/>
          <w:sz w:val="24"/>
          <w:szCs w:val="24"/>
          <w:lang w:eastAsia="zh-CN"/>
        </w:rPr>
        <w:t>。</w:t>
      </w:r>
    </w:p>
    <w:p>
      <w:pPr>
        <w:keepNext w:val="0"/>
        <w:keepLines w:val="0"/>
        <w:pageBreakBefore w:val="0"/>
        <w:widowControl/>
        <w:numPr>
          <w:ilvl w:val="0"/>
          <w:numId w:val="2"/>
        </w:numPr>
        <w:kinsoku/>
        <w:overflowPunct/>
        <w:topLinePunct w:val="0"/>
        <w:bidi w:val="0"/>
        <w:spacing w:before="75" w:after="75" w:line="360" w:lineRule="auto"/>
        <w:ind w:firstLine="465"/>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优先类节能产品、环境标志产品：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c其他：一、中小企业生产或销售的产品或服务部分的评审优惠:根据财政部、工业和信息化部制定的《关于印发〈政府采购促进中小企业发展管理办法〉的通知》（财库〔2020〕46号）规定，小型、微型企业产品参与投标享受相应优惠，符合中小企业划分标准(根据《工业和信息化部、国家统计局、国家发展和改革委员会、财政部关于印发中小企业划型标准规定的通知》（工信部联企业[2011]300号）规定的划分标准)的企业，还应当同时符合以下条件：（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符合以上条件的须在投标文件中同时提供《中小企业声明函》(见投标文件格式)，否则不予价格扣除。本项目为非专门面向中小企业的项目，对符合本办法规定的小微企业报价给予6%扣除；工程类给予3%扣除。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工程项目为1%）的扣除，用扣除后的价格参加评审。价格扣除比例或者价格分加分比例对小型企业和微型企业同等对待，不作区分。评标委员会审查此项响应性只根据投标文件本身的内容，而不寻求其他的外部证据。根据财政部、工业和信息化部关于发布《政府采购促进中小企业发展管理办法》(财库〔2020〕46号)的规定，中标供应商享受本办法规定的中小企业扶持政策的，采购人、采购代理机构应当随中标结果公开中标供应商的《中小企业声明函》。供应商按照本办法规定提供声明函内容不实的，属于提供虚假材料谋取中标，依照《中华人民共和国政府采购法》等国家有关规定追究相应责任。 二、残疾人福利性单位价格的扣除： 1、根据财政部、民政部、中国残疾人联合会印发的《三部门联合发布关于促进残疾人就业政府采购政策的通知》财库〔2017〕141号和福建省财政厅、 福建省民政厅、 福建省残疾人联合会印发的《关于进一步落实政府采购支持残疾人就业政策的通知》闽财购〔2018〕22号文，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2、符合条件的残疾人福利性单位在参加政府采购活动时，应当提供《三部门联合发布关于促进残疾人就业政府采购政策的通知》规定的《残疾人福利性单位声明函》(见投标文件格式)，并对声明的真实性负责。 3、在政府采购活动中，残疾人福利性单位视同小型、微型企业，对残疾人福利性单位产品价格给予10%的扣除；对残疾人福利性单位与其 他组织组成联合体参与政府采购活动的，残疾人福利性单位的协议合同金额占总合同金额 30%以上的，给予联合体合同金额 3%的价格扣除。残疾人福利性单位属于小微企业的，不重复享受政策(按照扣除比例较高的扣除)。 注：根据《财政部 民政部 中国残疾人联合会关于促进残疾人就业政府采购政策的通知》(财库〔2017〕 141号)的规定，中标供应商为残疾人福利性单位的，采购代理机构将随中标结果同时公告其《残疾人福利性单位声明函》，接受社会监督。供应商提供的《残疾人福利性单位声明函》与事实不符的，将依照《政府采购法》第七十七条第一款的规定被追究法律责任。 (本文件中其他有关对小微企业及其报价扣除描述情况与此处不一致的，以此处为准)。</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3.1.2合格供应商提交的最后报价按照上文3.1.1款规定的价格扣除规则计算后，得出的价格称为最后报价评审价。</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3.1.3谈判小组将从质量和服务均能满足采购文件实质性响应要求的供应商中，按照最后报价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（1）谈判文件可以约定出现并列最低评审价情形时的优先顺序规则，具体规则为：无。</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（2）谈判文件未约定优先顺序规则时，则由谈判小组中的采购人代表从并列最低评审价名单中自行选择确定优先顺序</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（3）采购人代表放弃自行选择确定权利的，则通过随机抽取方式确定优先顺序。</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overflowPunct/>
        <w:topLinePunct w:val="0"/>
        <w:bidi w:val="0"/>
        <w:spacing w:before="75" w:after="75" w:line="360" w:lineRule="auto"/>
        <w:jc w:val="center"/>
        <w:textAlignment w:val="auto"/>
        <w:outlineLvl w:val="3"/>
        <w:rPr>
          <w:rFonts w:ascii="宋体" w:hAnsi="宋体" w:eastAsia="宋体" w:cs="宋体"/>
          <w:color w:val="auto"/>
          <w:kern w:val="0"/>
          <w:sz w:val="24"/>
          <w:szCs w:val="24"/>
        </w:rPr>
      </w:pPr>
      <w:r>
        <w:rPr>
          <w:rFonts w:hint="eastAsia" w:ascii="宋体" w:hAnsi="宋体" w:eastAsia="宋体" w:cs="宋体"/>
          <w:b/>
          <w:bCs/>
          <w:color w:val="auto"/>
          <w:kern w:val="0"/>
          <w:sz w:val="24"/>
          <w:szCs w:val="24"/>
        </w:rPr>
        <w:t>四、评审报告</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4.1谈判小组完成评审后，应当编写评审报告并提交给采购人。</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4.2评审报告应当包括以下主要内容：</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（一）邀请供应商参加采购活动的具体方式和相关情况，以及参加采购活动的供应商名单；</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（二）评审日期和地点，谈判小组成员名单；</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（三）评审情况记录和说明，包括对供应商的资格审查情况、供应商响应文件评审情况、谈判情况、报价情况等；</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（四）提出的成交候选人的名单及理由。</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overflowPunct/>
        <w:topLinePunct w:val="0"/>
        <w:bidi w:val="0"/>
        <w:spacing w:before="75" w:after="75" w:line="360" w:lineRule="auto"/>
        <w:jc w:val="center"/>
        <w:textAlignment w:val="auto"/>
        <w:outlineLvl w:val="3"/>
        <w:rPr>
          <w:rFonts w:ascii="宋体" w:hAnsi="宋体" w:eastAsia="宋体" w:cs="宋体"/>
          <w:b/>
          <w:bCs/>
          <w:color w:val="auto"/>
          <w:kern w:val="0"/>
          <w:sz w:val="24"/>
          <w:szCs w:val="24"/>
        </w:rPr>
      </w:pPr>
    </w:p>
    <w:p>
      <w:pPr>
        <w:keepNext w:val="0"/>
        <w:keepLines w:val="0"/>
        <w:pageBreakBefore w:val="0"/>
        <w:widowControl/>
        <w:kinsoku/>
        <w:overflowPunct/>
        <w:topLinePunct w:val="0"/>
        <w:bidi w:val="0"/>
        <w:spacing w:before="75" w:after="75" w:line="360" w:lineRule="auto"/>
        <w:jc w:val="center"/>
        <w:textAlignment w:val="auto"/>
        <w:outlineLvl w:val="3"/>
        <w:rPr>
          <w:rFonts w:hint="eastAsia" w:ascii="宋体" w:hAnsi="宋体" w:eastAsia="宋体" w:cs="宋体"/>
          <w:b/>
          <w:bCs/>
          <w:color w:val="auto"/>
          <w:kern w:val="0"/>
          <w:sz w:val="24"/>
          <w:szCs w:val="24"/>
        </w:rPr>
      </w:pPr>
    </w:p>
    <w:p>
      <w:pPr>
        <w:keepNext w:val="0"/>
        <w:keepLines w:val="0"/>
        <w:pageBreakBefore w:val="0"/>
        <w:widowControl/>
        <w:kinsoku/>
        <w:overflowPunct/>
        <w:topLinePunct w:val="0"/>
        <w:bidi w:val="0"/>
        <w:spacing w:before="75" w:after="75" w:line="360" w:lineRule="auto"/>
        <w:jc w:val="center"/>
        <w:textAlignment w:val="auto"/>
        <w:outlineLvl w:val="3"/>
        <w:rPr>
          <w:rFonts w:hint="eastAsia" w:ascii="宋体" w:hAnsi="宋体" w:eastAsia="宋体" w:cs="宋体"/>
          <w:b/>
          <w:bCs/>
          <w:color w:val="auto"/>
          <w:kern w:val="0"/>
          <w:sz w:val="24"/>
          <w:szCs w:val="24"/>
        </w:rPr>
      </w:pPr>
    </w:p>
    <w:p>
      <w:pPr>
        <w:keepNext w:val="0"/>
        <w:keepLines w:val="0"/>
        <w:pageBreakBefore w:val="0"/>
        <w:widowControl/>
        <w:kinsoku/>
        <w:overflowPunct/>
        <w:topLinePunct w:val="0"/>
        <w:bidi w:val="0"/>
        <w:spacing w:before="75" w:after="75" w:line="360" w:lineRule="auto"/>
        <w:jc w:val="center"/>
        <w:textAlignment w:val="auto"/>
        <w:outlineLvl w:val="3"/>
        <w:rPr>
          <w:rFonts w:hint="eastAsia" w:ascii="宋体" w:hAnsi="宋体" w:eastAsia="宋体" w:cs="宋体"/>
          <w:b/>
          <w:bCs/>
          <w:color w:val="auto"/>
          <w:kern w:val="0"/>
          <w:sz w:val="24"/>
          <w:szCs w:val="24"/>
        </w:rPr>
      </w:pPr>
    </w:p>
    <w:p>
      <w:pPr>
        <w:keepNext w:val="0"/>
        <w:keepLines w:val="0"/>
        <w:pageBreakBefore w:val="0"/>
        <w:widowControl/>
        <w:kinsoku/>
        <w:overflowPunct/>
        <w:topLinePunct w:val="0"/>
        <w:bidi w:val="0"/>
        <w:spacing w:before="75" w:after="75" w:line="360" w:lineRule="auto"/>
        <w:jc w:val="center"/>
        <w:textAlignment w:val="auto"/>
        <w:outlineLvl w:val="3"/>
        <w:rPr>
          <w:rFonts w:hint="eastAsia" w:ascii="宋体" w:hAnsi="宋体" w:eastAsia="宋体" w:cs="宋体"/>
          <w:b/>
          <w:bCs/>
          <w:color w:val="auto"/>
          <w:kern w:val="0"/>
          <w:sz w:val="24"/>
          <w:szCs w:val="24"/>
        </w:rPr>
      </w:pPr>
    </w:p>
    <w:p>
      <w:pPr>
        <w:keepNext w:val="0"/>
        <w:keepLines w:val="0"/>
        <w:pageBreakBefore w:val="0"/>
        <w:widowControl/>
        <w:kinsoku/>
        <w:overflowPunct/>
        <w:topLinePunct w:val="0"/>
        <w:bidi w:val="0"/>
        <w:spacing w:before="75" w:after="75" w:line="360" w:lineRule="auto"/>
        <w:jc w:val="center"/>
        <w:textAlignment w:val="auto"/>
        <w:outlineLvl w:val="3"/>
        <w:rPr>
          <w:rFonts w:hint="eastAsia" w:ascii="宋体" w:hAnsi="宋体" w:eastAsia="宋体" w:cs="宋体"/>
          <w:b/>
          <w:bCs/>
          <w:color w:val="auto"/>
          <w:kern w:val="0"/>
          <w:sz w:val="24"/>
          <w:szCs w:val="24"/>
        </w:rPr>
      </w:pPr>
    </w:p>
    <w:p>
      <w:pPr>
        <w:keepNext w:val="0"/>
        <w:keepLines w:val="0"/>
        <w:pageBreakBefore w:val="0"/>
        <w:widowControl/>
        <w:kinsoku/>
        <w:overflowPunct/>
        <w:topLinePunct w:val="0"/>
        <w:bidi w:val="0"/>
        <w:spacing w:before="75" w:after="75" w:line="360" w:lineRule="auto"/>
        <w:jc w:val="center"/>
        <w:textAlignment w:val="auto"/>
        <w:outlineLvl w:val="3"/>
        <w:rPr>
          <w:rFonts w:ascii="宋体" w:hAnsi="宋体" w:eastAsia="宋体" w:cs="宋体"/>
          <w:color w:val="auto"/>
          <w:kern w:val="0"/>
          <w:sz w:val="24"/>
          <w:szCs w:val="24"/>
        </w:rPr>
      </w:pPr>
      <w:r>
        <w:rPr>
          <w:rFonts w:hint="eastAsia" w:ascii="宋体" w:hAnsi="宋体" w:eastAsia="宋体" w:cs="宋体"/>
          <w:b/>
          <w:bCs/>
          <w:color w:val="auto"/>
          <w:kern w:val="0"/>
          <w:sz w:val="24"/>
          <w:szCs w:val="24"/>
        </w:rPr>
        <w:t>五、其他规定</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5.1其他规定</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5.1.1评审应全程保密且不得透露给任一供应商或与评审工作无关的人员。</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5.1.2若供应商有任何试图干扰具体评审事务，影响谈判小组独立履行职责的行为，情节严重的，由财政部门列入不良行为记录。</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5.1.4根据采购项目的特点和需要，需要加以详细说明的其他谈判程序规定、要求等内容：</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u w:val="single"/>
        </w:rPr>
        <w:t>无</w:t>
      </w:r>
      <w:r>
        <w:rPr>
          <w:rFonts w:hint="eastAsia" w:ascii="宋体" w:hAnsi="宋体" w:eastAsia="宋体" w:cs="宋体"/>
          <w:color w:val="auto"/>
          <w:kern w:val="0"/>
          <w:sz w:val="24"/>
          <w:szCs w:val="24"/>
        </w:rPr>
        <w:t>。</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p>
    <w:p>
      <w:pPr>
        <w:keepNext w:val="0"/>
        <w:keepLines w:val="0"/>
        <w:pageBreakBefore w:val="0"/>
        <w:widowControl/>
        <w:kinsoku/>
        <w:overflowPunct/>
        <w:topLinePunct w:val="0"/>
        <w:bidi w:val="0"/>
        <w:spacing w:before="75" w:after="75" w:line="360" w:lineRule="auto"/>
        <w:jc w:val="center"/>
        <w:textAlignment w:val="auto"/>
        <w:outlineLvl w:val="1"/>
        <w:rPr>
          <w:rFonts w:ascii="宋体" w:hAnsi="宋体" w:eastAsia="宋体" w:cs="宋体"/>
          <w:b/>
          <w:bCs/>
          <w:color w:val="auto"/>
          <w:kern w:val="0"/>
          <w:sz w:val="32"/>
          <w:szCs w:val="32"/>
        </w:rPr>
      </w:pPr>
    </w:p>
    <w:p>
      <w:pPr>
        <w:keepNext w:val="0"/>
        <w:keepLines w:val="0"/>
        <w:pageBreakBefore w:val="0"/>
        <w:widowControl/>
        <w:kinsoku/>
        <w:overflowPunct/>
        <w:topLinePunct w:val="0"/>
        <w:bidi w:val="0"/>
        <w:spacing w:before="75" w:after="75" w:line="360" w:lineRule="auto"/>
        <w:jc w:val="center"/>
        <w:textAlignment w:val="auto"/>
        <w:outlineLvl w:val="1"/>
        <w:rPr>
          <w:rFonts w:ascii="宋体" w:hAnsi="宋体" w:eastAsia="宋体" w:cs="宋体"/>
          <w:b/>
          <w:bCs/>
          <w:color w:val="auto"/>
          <w:kern w:val="0"/>
          <w:sz w:val="32"/>
          <w:szCs w:val="32"/>
        </w:rPr>
      </w:pPr>
    </w:p>
    <w:p>
      <w:pPr>
        <w:keepNext w:val="0"/>
        <w:keepLines w:val="0"/>
        <w:pageBreakBefore w:val="0"/>
        <w:widowControl/>
        <w:kinsoku/>
        <w:overflowPunct/>
        <w:topLinePunct w:val="0"/>
        <w:bidi w:val="0"/>
        <w:spacing w:before="75" w:after="75" w:line="360" w:lineRule="auto"/>
        <w:jc w:val="center"/>
        <w:textAlignment w:val="auto"/>
        <w:outlineLvl w:val="1"/>
        <w:rPr>
          <w:rFonts w:hint="eastAsia" w:ascii="宋体" w:hAnsi="宋体" w:eastAsia="宋体" w:cs="宋体"/>
          <w:b/>
          <w:bCs/>
          <w:color w:val="auto"/>
          <w:kern w:val="0"/>
          <w:sz w:val="32"/>
          <w:szCs w:val="32"/>
        </w:rPr>
      </w:pPr>
    </w:p>
    <w:p>
      <w:pPr>
        <w:keepNext w:val="0"/>
        <w:keepLines w:val="0"/>
        <w:pageBreakBefore w:val="0"/>
        <w:widowControl/>
        <w:kinsoku/>
        <w:overflowPunct/>
        <w:topLinePunct w:val="0"/>
        <w:bidi w:val="0"/>
        <w:spacing w:before="75" w:after="75" w:line="360" w:lineRule="auto"/>
        <w:jc w:val="center"/>
        <w:textAlignment w:val="auto"/>
        <w:outlineLvl w:val="1"/>
        <w:rPr>
          <w:rFonts w:hint="eastAsia" w:ascii="宋体" w:hAnsi="宋体" w:eastAsia="宋体" w:cs="宋体"/>
          <w:b/>
          <w:bCs/>
          <w:color w:val="auto"/>
          <w:kern w:val="0"/>
          <w:sz w:val="32"/>
          <w:szCs w:val="32"/>
        </w:rPr>
      </w:pPr>
    </w:p>
    <w:p>
      <w:pPr>
        <w:keepNext w:val="0"/>
        <w:keepLines w:val="0"/>
        <w:pageBreakBefore w:val="0"/>
        <w:widowControl/>
        <w:kinsoku/>
        <w:overflowPunct/>
        <w:topLinePunct w:val="0"/>
        <w:bidi w:val="0"/>
        <w:spacing w:before="75" w:after="75" w:line="360" w:lineRule="auto"/>
        <w:jc w:val="center"/>
        <w:textAlignment w:val="auto"/>
        <w:outlineLvl w:val="1"/>
        <w:rPr>
          <w:rFonts w:hint="eastAsia" w:ascii="宋体" w:hAnsi="宋体" w:eastAsia="宋体" w:cs="宋体"/>
          <w:b/>
          <w:bCs/>
          <w:color w:val="auto"/>
          <w:kern w:val="0"/>
          <w:sz w:val="32"/>
          <w:szCs w:val="32"/>
        </w:rPr>
      </w:pPr>
    </w:p>
    <w:p>
      <w:pPr>
        <w:keepNext w:val="0"/>
        <w:keepLines w:val="0"/>
        <w:pageBreakBefore w:val="0"/>
        <w:widowControl/>
        <w:kinsoku/>
        <w:overflowPunct/>
        <w:topLinePunct w:val="0"/>
        <w:bidi w:val="0"/>
        <w:spacing w:before="75" w:after="75" w:line="360" w:lineRule="auto"/>
        <w:jc w:val="center"/>
        <w:textAlignment w:val="auto"/>
        <w:outlineLvl w:val="1"/>
        <w:rPr>
          <w:rFonts w:hint="eastAsia" w:ascii="宋体" w:hAnsi="宋体" w:eastAsia="宋体" w:cs="宋体"/>
          <w:b/>
          <w:bCs/>
          <w:color w:val="auto"/>
          <w:kern w:val="0"/>
          <w:sz w:val="32"/>
          <w:szCs w:val="32"/>
        </w:rPr>
      </w:pPr>
    </w:p>
    <w:p>
      <w:pPr>
        <w:keepNext w:val="0"/>
        <w:keepLines w:val="0"/>
        <w:pageBreakBefore w:val="0"/>
        <w:widowControl/>
        <w:kinsoku/>
        <w:overflowPunct/>
        <w:topLinePunct w:val="0"/>
        <w:bidi w:val="0"/>
        <w:spacing w:before="75" w:after="75" w:line="360" w:lineRule="auto"/>
        <w:jc w:val="center"/>
        <w:textAlignment w:val="auto"/>
        <w:outlineLvl w:val="1"/>
        <w:rPr>
          <w:rFonts w:hint="eastAsia" w:ascii="宋体" w:hAnsi="宋体" w:eastAsia="宋体" w:cs="宋体"/>
          <w:b/>
          <w:bCs/>
          <w:color w:val="auto"/>
          <w:kern w:val="0"/>
          <w:sz w:val="32"/>
          <w:szCs w:val="32"/>
        </w:rPr>
      </w:pPr>
    </w:p>
    <w:p>
      <w:pPr>
        <w:keepNext w:val="0"/>
        <w:keepLines w:val="0"/>
        <w:pageBreakBefore w:val="0"/>
        <w:widowControl/>
        <w:kinsoku/>
        <w:overflowPunct/>
        <w:topLinePunct w:val="0"/>
        <w:bidi w:val="0"/>
        <w:spacing w:before="75" w:after="75" w:line="360" w:lineRule="auto"/>
        <w:jc w:val="center"/>
        <w:textAlignment w:val="auto"/>
        <w:outlineLvl w:val="1"/>
        <w:rPr>
          <w:rFonts w:hint="eastAsia" w:ascii="宋体" w:hAnsi="宋体" w:eastAsia="宋体" w:cs="宋体"/>
          <w:b/>
          <w:bCs/>
          <w:color w:val="auto"/>
          <w:kern w:val="0"/>
          <w:sz w:val="32"/>
          <w:szCs w:val="32"/>
        </w:rPr>
      </w:pPr>
    </w:p>
    <w:p>
      <w:pPr>
        <w:keepNext w:val="0"/>
        <w:keepLines w:val="0"/>
        <w:pageBreakBefore w:val="0"/>
        <w:widowControl/>
        <w:kinsoku/>
        <w:overflowPunct/>
        <w:topLinePunct w:val="0"/>
        <w:bidi w:val="0"/>
        <w:spacing w:before="75" w:after="75" w:line="360" w:lineRule="auto"/>
        <w:jc w:val="center"/>
        <w:textAlignment w:val="auto"/>
        <w:outlineLvl w:val="1"/>
        <w:rPr>
          <w:rFonts w:hint="eastAsia" w:ascii="宋体" w:hAnsi="宋体" w:eastAsia="宋体" w:cs="宋体"/>
          <w:b/>
          <w:bCs/>
          <w:color w:val="auto"/>
          <w:kern w:val="0"/>
          <w:sz w:val="32"/>
          <w:szCs w:val="32"/>
        </w:rPr>
      </w:pPr>
    </w:p>
    <w:p>
      <w:pPr>
        <w:keepNext w:val="0"/>
        <w:keepLines w:val="0"/>
        <w:pageBreakBefore w:val="0"/>
        <w:widowControl/>
        <w:kinsoku/>
        <w:overflowPunct/>
        <w:topLinePunct w:val="0"/>
        <w:bidi w:val="0"/>
        <w:spacing w:before="75" w:after="75" w:line="360" w:lineRule="auto"/>
        <w:jc w:val="center"/>
        <w:textAlignment w:val="auto"/>
        <w:outlineLvl w:val="1"/>
        <w:rPr>
          <w:rFonts w:hint="eastAsia" w:ascii="宋体" w:hAnsi="宋体" w:eastAsia="宋体" w:cs="宋体"/>
          <w:b/>
          <w:bCs/>
          <w:color w:val="auto"/>
          <w:kern w:val="0"/>
          <w:sz w:val="32"/>
          <w:szCs w:val="32"/>
        </w:rPr>
      </w:pPr>
    </w:p>
    <w:p>
      <w:pPr>
        <w:keepNext w:val="0"/>
        <w:keepLines w:val="0"/>
        <w:pageBreakBefore w:val="0"/>
        <w:widowControl/>
        <w:kinsoku/>
        <w:overflowPunct/>
        <w:topLinePunct w:val="0"/>
        <w:bidi w:val="0"/>
        <w:spacing w:before="75" w:after="75" w:line="360" w:lineRule="auto"/>
        <w:jc w:val="center"/>
        <w:textAlignment w:val="auto"/>
        <w:outlineLvl w:val="1"/>
        <w:rPr>
          <w:rFonts w:hint="eastAsia" w:ascii="宋体" w:hAnsi="宋体" w:eastAsia="宋体" w:cs="宋体"/>
          <w:b/>
          <w:bCs/>
          <w:color w:val="auto"/>
          <w:kern w:val="0"/>
          <w:sz w:val="32"/>
          <w:szCs w:val="32"/>
        </w:rPr>
      </w:pPr>
    </w:p>
    <w:p>
      <w:pPr>
        <w:keepNext w:val="0"/>
        <w:keepLines w:val="0"/>
        <w:pageBreakBefore w:val="0"/>
        <w:widowControl/>
        <w:kinsoku/>
        <w:overflowPunct/>
        <w:topLinePunct w:val="0"/>
        <w:bidi w:val="0"/>
        <w:spacing w:before="75" w:after="75" w:line="360" w:lineRule="auto"/>
        <w:jc w:val="center"/>
        <w:textAlignment w:val="auto"/>
        <w:outlineLvl w:val="1"/>
        <w:rPr>
          <w:rFonts w:hint="eastAsia" w:ascii="宋体" w:hAnsi="宋体" w:eastAsia="宋体" w:cs="宋体"/>
          <w:b/>
          <w:bCs/>
          <w:color w:val="auto"/>
          <w:kern w:val="0"/>
          <w:sz w:val="32"/>
          <w:szCs w:val="32"/>
        </w:rPr>
      </w:pPr>
    </w:p>
    <w:p>
      <w:pPr>
        <w:keepNext w:val="0"/>
        <w:keepLines w:val="0"/>
        <w:pageBreakBefore w:val="0"/>
        <w:widowControl/>
        <w:kinsoku/>
        <w:overflowPunct/>
        <w:topLinePunct w:val="0"/>
        <w:bidi w:val="0"/>
        <w:spacing w:before="75" w:after="75" w:line="360" w:lineRule="auto"/>
        <w:jc w:val="center"/>
        <w:textAlignment w:val="auto"/>
        <w:outlineLvl w:val="1"/>
        <w:rPr>
          <w:rFonts w:ascii="宋体" w:hAnsi="宋体" w:eastAsia="宋体" w:cs="宋体"/>
          <w:color w:val="auto"/>
          <w:kern w:val="0"/>
          <w:sz w:val="32"/>
          <w:szCs w:val="32"/>
        </w:rPr>
      </w:pPr>
      <w:r>
        <w:rPr>
          <w:rFonts w:hint="eastAsia" w:ascii="宋体" w:hAnsi="宋体" w:eastAsia="宋体" w:cs="宋体"/>
          <w:b/>
          <w:bCs/>
          <w:color w:val="auto"/>
          <w:kern w:val="0"/>
          <w:sz w:val="32"/>
          <w:szCs w:val="32"/>
        </w:rPr>
        <w:t>第2节  竞争性谈判须知</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overflowPunct/>
        <w:topLinePunct w:val="0"/>
        <w:bidi w:val="0"/>
        <w:spacing w:before="75" w:after="75" w:line="360" w:lineRule="auto"/>
        <w:jc w:val="center"/>
        <w:textAlignment w:val="auto"/>
        <w:outlineLvl w:val="1"/>
        <w:rPr>
          <w:rFonts w:ascii="宋体" w:hAnsi="宋体" w:eastAsia="宋体" w:cs="宋体"/>
          <w:color w:val="auto"/>
          <w:kern w:val="0"/>
          <w:sz w:val="24"/>
          <w:szCs w:val="24"/>
        </w:rPr>
      </w:pPr>
      <w:r>
        <w:rPr>
          <w:rFonts w:hint="eastAsia" w:ascii="宋体" w:hAnsi="宋体" w:eastAsia="宋体" w:cs="宋体"/>
          <w:b/>
          <w:bCs/>
          <w:color w:val="auto"/>
          <w:kern w:val="0"/>
          <w:sz w:val="24"/>
          <w:szCs w:val="24"/>
        </w:rPr>
        <w:t>一、总则</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1.适用范围：</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1.1适用于谈判文件载明项目的采购活动（以下简称：“本次采购活动”）。</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2.定义及要求：</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2.1“采购标的”指谈判文件载明的需要采购的货物、服务、工程。</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2.2“采购人”指本次采购项目的买方、或业主方、或采购人，具体见谈判文件第一章；“采购代理机构”系指接受采购人委托，组织开展竞争性谈判采购活动的代理机构，具体见谈判文件第一章。</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2.3“潜在供应商”按照谈判文件第一章规定进行报名，且有意向参加本项目响应谈判的供应商。</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2.4“供应商”指按照谈判文件第一章规定进行报名，且已经提交响应文件的法人或其他组织或自然人。只有适合自然人参与和承接的政府采购项目，供应商才可以是自然人。</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2.5“单位负责人”指单位法定代表人（供应商为法人的）或法律、法规规定代表单位行使职权的主要负责人（供应商为其他组织的）。</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2.6“供应商代表”指供应商（为法人或其他组织的）的单位负责人或由其授权的委托代理人，即单位负责人授权书中载明的接受授权方。供应商为自然人的，由本人签字并附身份证明。</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3.合格的供应商：</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3.1一般规定</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3.1.1供应商应当遵守中国的有关法律、法规和规章的规定，参加政府采购活动时已经自觉检查并按照政府采购相关法律规定，主动回避相应利害关系。</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3.1.2为采购项目提供整体设计、规范编制或项目管理、监理、检测等服务的供应商，不得再参加该采购项目除整体设计、规范编制和项目管理、监理、检测等服务之外的其他采购活动</w:t>
      </w:r>
      <w:r>
        <w:rPr>
          <w:rFonts w:hint="eastAsia" w:ascii="宋体" w:hAnsi="宋体" w:eastAsia="宋体" w:cs="宋体"/>
          <w:b/>
          <w:bCs/>
          <w:color w:val="auto"/>
          <w:kern w:val="0"/>
          <w:sz w:val="24"/>
          <w:szCs w:val="24"/>
        </w:rPr>
        <w:t>。</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3.1.3列入失信被执行人、重大税收违法案件当事人名单、政府采购严重违法失信行为记录名单及其他不符合《中华人民共和国政府采购法》第二十二条规定条件的供应商，不得参加政府采购活动</w:t>
      </w:r>
      <w:r>
        <w:rPr>
          <w:rFonts w:hint="eastAsia" w:ascii="宋体" w:hAnsi="宋体" w:eastAsia="宋体" w:cs="宋体"/>
          <w:b/>
          <w:bCs/>
          <w:color w:val="auto"/>
          <w:kern w:val="0"/>
          <w:sz w:val="24"/>
          <w:szCs w:val="24"/>
        </w:rPr>
        <w:t>。</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供应商有责任检查自身情况，在响应文件中对是否违反以上一般规定做出如实声明，否则其响应文件将被否决。</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3.2特别规定</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3.2.1供应商的资格要求：详见竞争性谈判须知前附表第1项。</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3.2.2是否接受联合体形式的响应谈判：详见竞争性谈判须知前附表第2项。若接受联合体形式且供应商为联合体，则联合体各方除了应遵守本章第3.1条规定外，还应遵守下列规定：</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（1）联合体各方应提交联合体协议，联合体协议应符合谈判文件规定。</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（2）联合体各方不得再单独参加或与其他供应商另外组成联合体参加同一合同项下的响应谈判。</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（3）联合体各方应共同与采购人签订政府采购合同，就政府采购合同约定的事项对采购人承担连带责任。</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4.参与竞争性谈判费用：</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4.1除法律法规或采购文件另有规定之外，供应商应自行承担其准备与参加竞争性谈判所涉及的一切费用。</w:t>
      </w:r>
    </w:p>
    <w:p>
      <w:pPr>
        <w:keepNext w:val="0"/>
        <w:keepLines w:val="0"/>
        <w:pageBreakBefore w:val="0"/>
        <w:widowControl/>
        <w:kinsoku/>
        <w:overflowPunct/>
        <w:topLinePunct w:val="0"/>
        <w:bidi w:val="0"/>
        <w:spacing w:before="75" w:after="75"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overflowPunct/>
        <w:topLinePunct w:val="0"/>
        <w:bidi w:val="0"/>
        <w:spacing w:before="75" w:after="75" w:line="360" w:lineRule="auto"/>
        <w:jc w:val="both"/>
        <w:textAlignment w:val="auto"/>
        <w:outlineLvl w:val="1"/>
        <w:rPr>
          <w:rFonts w:ascii="宋体" w:hAnsi="宋体" w:eastAsia="宋体" w:cs="宋体"/>
          <w:b/>
          <w:bCs/>
          <w:color w:val="auto"/>
          <w:kern w:val="0"/>
          <w:sz w:val="24"/>
          <w:szCs w:val="24"/>
        </w:rPr>
      </w:pPr>
    </w:p>
    <w:p>
      <w:pPr>
        <w:keepNext w:val="0"/>
        <w:keepLines w:val="0"/>
        <w:pageBreakBefore w:val="0"/>
        <w:widowControl/>
        <w:kinsoku/>
        <w:overflowPunct/>
        <w:topLinePunct w:val="0"/>
        <w:bidi w:val="0"/>
        <w:spacing w:before="75" w:after="75" w:line="360" w:lineRule="auto"/>
        <w:jc w:val="center"/>
        <w:textAlignment w:val="auto"/>
        <w:outlineLvl w:val="1"/>
        <w:rPr>
          <w:rFonts w:ascii="宋体" w:hAnsi="宋体" w:eastAsia="宋体" w:cs="宋体"/>
          <w:color w:val="auto"/>
          <w:kern w:val="0"/>
          <w:sz w:val="24"/>
          <w:szCs w:val="24"/>
        </w:rPr>
      </w:pPr>
      <w:r>
        <w:rPr>
          <w:rFonts w:hint="eastAsia" w:ascii="宋体" w:hAnsi="宋体" w:eastAsia="宋体" w:cs="宋体"/>
          <w:b/>
          <w:bCs/>
          <w:color w:val="auto"/>
          <w:kern w:val="0"/>
          <w:sz w:val="24"/>
          <w:szCs w:val="24"/>
        </w:rPr>
        <w:t>二、竞争性谈判文件</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5.竞争性谈判文件的组成：</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5.1竞争性谈判文件由下述部分组成：</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第一章 采购公告（或采购邀请书）</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第二章 竞争性谈判须知</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第三章 采购内容及要求</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第四章 合同主要条款及格式</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第五章 首次响应文件格式</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5.2除上述内容以外，采购人、采购代理机构或者谈判小组在采购过程期间对谈判文件所作的澄清、修改或补充，均构成谈判文件的组成部分，对采购人和供应商具有约束力。</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6.竞争性谈判文件的澄清、补充或修改：</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overflowPunct/>
        <w:topLinePunct w:val="0"/>
        <w:bidi w:val="0"/>
        <w:spacing w:before="75" w:after="75" w:line="360" w:lineRule="auto"/>
        <w:jc w:val="center"/>
        <w:textAlignment w:val="auto"/>
        <w:outlineLvl w:val="1"/>
        <w:rPr>
          <w:rFonts w:ascii="宋体" w:hAnsi="宋体" w:eastAsia="宋体" w:cs="宋体"/>
          <w:b/>
          <w:bCs/>
          <w:color w:val="auto"/>
          <w:kern w:val="0"/>
          <w:sz w:val="24"/>
          <w:szCs w:val="24"/>
        </w:rPr>
      </w:pPr>
    </w:p>
    <w:p>
      <w:pPr>
        <w:keepNext w:val="0"/>
        <w:keepLines w:val="0"/>
        <w:pageBreakBefore w:val="0"/>
        <w:widowControl/>
        <w:kinsoku/>
        <w:overflowPunct/>
        <w:topLinePunct w:val="0"/>
        <w:bidi w:val="0"/>
        <w:spacing w:before="75" w:after="75" w:line="360" w:lineRule="auto"/>
        <w:jc w:val="center"/>
        <w:textAlignment w:val="auto"/>
        <w:outlineLvl w:val="1"/>
        <w:rPr>
          <w:rFonts w:hint="eastAsia" w:ascii="宋体" w:hAnsi="宋体" w:eastAsia="宋体" w:cs="宋体"/>
          <w:b/>
          <w:bCs/>
          <w:color w:val="auto"/>
          <w:kern w:val="0"/>
          <w:sz w:val="24"/>
          <w:szCs w:val="24"/>
        </w:rPr>
      </w:pPr>
    </w:p>
    <w:p>
      <w:pPr>
        <w:keepNext w:val="0"/>
        <w:keepLines w:val="0"/>
        <w:pageBreakBefore w:val="0"/>
        <w:widowControl/>
        <w:kinsoku/>
        <w:overflowPunct/>
        <w:topLinePunct w:val="0"/>
        <w:bidi w:val="0"/>
        <w:spacing w:before="75" w:after="75" w:line="360" w:lineRule="auto"/>
        <w:jc w:val="center"/>
        <w:textAlignment w:val="auto"/>
        <w:outlineLvl w:val="1"/>
        <w:rPr>
          <w:rFonts w:hint="eastAsia" w:ascii="宋体" w:hAnsi="宋体" w:eastAsia="宋体" w:cs="宋体"/>
          <w:b/>
          <w:bCs/>
          <w:color w:val="auto"/>
          <w:kern w:val="0"/>
          <w:sz w:val="24"/>
          <w:szCs w:val="24"/>
        </w:rPr>
      </w:pPr>
    </w:p>
    <w:p>
      <w:pPr>
        <w:keepNext w:val="0"/>
        <w:keepLines w:val="0"/>
        <w:pageBreakBefore w:val="0"/>
        <w:widowControl/>
        <w:kinsoku/>
        <w:overflowPunct/>
        <w:topLinePunct w:val="0"/>
        <w:bidi w:val="0"/>
        <w:spacing w:before="75" w:after="75" w:line="360" w:lineRule="auto"/>
        <w:jc w:val="center"/>
        <w:textAlignment w:val="auto"/>
        <w:outlineLvl w:val="1"/>
        <w:rPr>
          <w:rFonts w:ascii="宋体" w:hAnsi="宋体" w:eastAsia="宋体" w:cs="宋体"/>
          <w:color w:val="auto"/>
          <w:kern w:val="0"/>
          <w:sz w:val="24"/>
          <w:szCs w:val="24"/>
        </w:rPr>
      </w:pPr>
      <w:r>
        <w:rPr>
          <w:rFonts w:hint="eastAsia" w:ascii="宋体" w:hAnsi="宋体" w:eastAsia="宋体" w:cs="宋体"/>
          <w:b/>
          <w:bCs/>
          <w:color w:val="auto"/>
          <w:kern w:val="0"/>
          <w:sz w:val="24"/>
          <w:szCs w:val="24"/>
        </w:rPr>
        <w:t>三、响应文件编制</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7.应标要求</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7.1供应商可按照合同包号，对竞争性谈判文件中载明的全部或部分合同包进行响应。对于能够详细列明采购标的技术、服务要求的采购项目，供应商响应时，对同一个合同包内所有的采购内容和要求必须进行完整响应，</w:t>
      </w:r>
      <w:r>
        <w:rPr>
          <w:rFonts w:hint="eastAsia" w:ascii="宋体" w:hAnsi="宋体" w:eastAsia="宋体" w:cs="宋体"/>
          <w:b/>
          <w:bCs/>
          <w:color w:val="auto"/>
          <w:kern w:val="0"/>
          <w:sz w:val="24"/>
          <w:szCs w:val="24"/>
        </w:rPr>
        <w:t>否则其相应合同包的响应文件将被否决。</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7.2供应商代表在同一个合同项下只能接受一个供应商的委托参加响应谈判，</w:t>
      </w:r>
      <w:r>
        <w:rPr>
          <w:rFonts w:hint="eastAsia" w:ascii="宋体" w:hAnsi="宋体" w:eastAsia="宋体" w:cs="宋体"/>
          <w:b/>
          <w:bCs/>
          <w:color w:val="auto"/>
          <w:kern w:val="0"/>
          <w:sz w:val="24"/>
          <w:szCs w:val="24"/>
        </w:rPr>
        <w:t>否则其响应文件将被否决。</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7.3供应商应仔细阅读谈判文件的所有内容和要求，按谈判文件的规定提供响应文件，并对其所提供的全部资料、承诺和声明的真实性、合法性和准确性负责。</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7.4除非竞争性谈判须知前附表另有规定外，供应商提供的响应文件应使用中文文本，若有不同文字文本，以中文文本为准。</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7.6除非竞争性谈判须知前附表另有规定外，供应商承诺的报价应以人民币进行报价，合同实施结算时亦以人民币支付；所有计量均采用中华人民共和国法定计量单位。</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8.首次响应文件的组成：</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8.1首次响应文件包括但不限于下列部分：</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（1）谈判响应声明</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（2）报价一览表（含详细报价书）</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（3）资格证明文件</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）技术和商务偏离表</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）相关技术、商务、服务响应承诺及资料</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）供应商提交符合政府采购政策的证明材料</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）要求作为响应文件组成部分的其他内容（若有）</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9.响应文件有效期：</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9.1响应文件有效期见竞争性谈判须知前附表第3项，响应文件承诺的有效期不得少于谈判文件载明的有效期，</w:t>
      </w:r>
      <w:r>
        <w:rPr>
          <w:rFonts w:hint="eastAsia" w:ascii="宋体" w:hAnsi="宋体" w:eastAsia="宋体" w:cs="宋体"/>
          <w:b/>
          <w:bCs/>
          <w:color w:val="auto"/>
          <w:kern w:val="0"/>
          <w:sz w:val="24"/>
          <w:szCs w:val="24"/>
        </w:rPr>
        <w:t>否则其响应文件将被否决。</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9.2特殊情况下采购人可于响应文件有效期满之前要求供应商同意延长有效期，要求与答复均应为书面形式。供应商可以拒绝延长有效期，但其供应商资格将被取消。同意延长有效期的供应商，不需要也不允许修改其响应文件及谈判承诺。</w:t>
      </w:r>
    </w:p>
    <w:p>
      <w:pPr>
        <w:keepNext w:val="0"/>
        <w:keepLines w:val="0"/>
        <w:pageBreakBefore w:val="0"/>
        <w:widowControl/>
        <w:numPr>
          <w:ilvl w:val="0"/>
          <w:numId w:val="3"/>
        </w:numPr>
        <w:kinsoku/>
        <w:overflowPunct/>
        <w:topLinePunct w:val="0"/>
        <w:bidi w:val="0"/>
        <w:spacing w:before="75" w:after="75" w:line="360" w:lineRule="auto"/>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谈判保证金：</w:t>
      </w:r>
    </w:p>
    <w:p>
      <w:pPr>
        <w:pStyle w:val="2"/>
        <w:numPr>
          <w:ilvl w:val="0"/>
          <w:numId w:val="0"/>
        </w:numPr>
        <w:rPr>
          <w:rFonts w:hint="default" w:eastAsia="宋体"/>
          <w:color w:val="auto"/>
          <w:lang w:val="en-US" w:eastAsia="zh-CN"/>
        </w:rPr>
      </w:pPr>
      <w:r>
        <w:rPr>
          <w:rFonts w:hint="eastAsia"/>
          <w:color w:val="auto"/>
          <w:lang w:val="en-US" w:eastAsia="zh-CN"/>
        </w:rPr>
        <w:t xml:space="preserve">    无。</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11.纸质响应文件基本编制要求：</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11.2响应文件应由供应商代表签字并加盖公章。供应商代表如果不是竞争性谈判须知中定义的“单位负责人”，则其响应文件中还必须提供“单位负责人授权书”。</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11.3响应文件应尽量避免涂改、行间插字或删除。如果出现上述情况，改动之处应加盖供应商单位公章或由供应商代表签字确认。</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11.4供应商应提交证明其拟提供货物、服务或工程符合谈判文件要求的技术和商务响应文件，该文件可以是文字资料、图纸和数据，并对拟提供的货物、服务或工程的主要内容进行详细描述。</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12.纸质响应文件的密封、标识、签署和提交</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12.2供应商应当在谈判文件规定的提交响应文件截止时间前，将首次响应文件密封送达谈判文件规定的指定地点。在截止时间后送达的首次响应文件为无效文件，采购人、采购代理机构或者谈判小组将不予接收。</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b/>
          <w:bCs/>
          <w:color w:val="auto"/>
          <w:kern w:val="0"/>
          <w:sz w:val="24"/>
          <w:szCs w:val="24"/>
        </w:rPr>
      </w:pPr>
      <w:r>
        <w:rPr>
          <w:rFonts w:hint="eastAsia" w:ascii="宋体" w:hAnsi="宋体" w:eastAsia="宋体" w:cs="宋体"/>
          <w:color w:val="auto"/>
          <w:kern w:val="0"/>
          <w:sz w:val="24"/>
          <w:szCs w:val="24"/>
        </w:rPr>
        <w:t>  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 </w:t>
      </w:r>
    </w:p>
    <w:p>
      <w:pPr>
        <w:keepNext w:val="0"/>
        <w:keepLines w:val="0"/>
        <w:pageBreakBefore w:val="0"/>
        <w:widowControl/>
        <w:kinsoku/>
        <w:overflowPunct/>
        <w:topLinePunct w:val="0"/>
        <w:bidi w:val="0"/>
        <w:spacing w:before="75" w:after="75" w:line="360" w:lineRule="auto"/>
        <w:jc w:val="center"/>
        <w:textAlignment w:val="auto"/>
        <w:outlineLvl w:val="1"/>
        <w:rPr>
          <w:rFonts w:ascii="宋体" w:hAnsi="宋体" w:eastAsia="宋体" w:cs="宋体"/>
          <w:color w:val="auto"/>
          <w:kern w:val="0"/>
          <w:sz w:val="24"/>
          <w:szCs w:val="24"/>
        </w:rPr>
      </w:pPr>
      <w:r>
        <w:rPr>
          <w:rFonts w:hint="eastAsia" w:ascii="宋体" w:hAnsi="宋体" w:eastAsia="宋体" w:cs="宋体"/>
          <w:b/>
          <w:bCs/>
          <w:color w:val="auto"/>
          <w:kern w:val="0"/>
          <w:sz w:val="24"/>
          <w:szCs w:val="24"/>
        </w:rPr>
        <w:t>四、竞争性谈判</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13.评审和谈判基本准则</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13.1对所有供应商的评审和谈判，都采用相同的程序和标准。</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13.2谈判及评审过程将严格按照谈判文件的要求和条件进行，谈判小组将根据供应商的响应文件，按谈判文件规定的谈判程序和评定成交标准进行评审和谈判，并推荐成交候选人。</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14.谈判程序以及评定成交标准</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14.1采购人将根据项目的特点依法组建谈判小组。谈判小组将根据谈判文件规定的程序、评定成交标准等内容对供应商进行评审、谈判。</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14.2.1供应商有下列情况之一者，其提交的响应文件将被视为未实质性响应谈判文件要求，谈判小组将否决其响应文件，按无效处理：</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(1)响应文件中提供的资格证明文件不全的；</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(2)响应文件未按谈判文件规定由供应商代表签字，或未按谈判文件规定加盖供应商单位公章的；或供应商代表未获得有效授权的；</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)响应文件有效期不满足谈判文件要求的；</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)响应内容与谈判采购内容及要求有重大偏离或保留的，限制了采购人的权利或者减少成交供应商合同项下的义务；（由于谈判项目本身特点，不能详细列明采购标的的技术、服务要求的除外）；</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)响应文件中附有采购人无法接受的条件的；</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)不符合谈判文件中规定的其它实质性条款（比如：报价超过了谈判文件规定的最高限价）。</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14.2.2其他情形</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   </w:t>
      </w:r>
      <w:r>
        <w:rPr>
          <w:rFonts w:hint="eastAsia" w:ascii="宋体" w:hAnsi="宋体" w:eastAsia="宋体" w:cs="宋体"/>
          <w:b/>
          <w:bCs/>
          <w:color w:val="auto"/>
          <w:kern w:val="0"/>
          <w:sz w:val="24"/>
          <w:szCs w:val="24"/>
        </w:rPr>
        <w:t>包：1</w:t>
      </w:r>
    </w:p>
    <w:tbl>
      <w:tblPr>
        <w:tblStyle w:val="10"/>
        <w:tblW w:w="8191" w:type="dxa"/>
        <w:tblCellSpacing w:w="0"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8191" w:type="dxa"/>
            <w:vAlign w:val="center"/>
          </w:tcPr>
          <w:p>
            <w:pPr>
              <w:keepNext w:val="0"/>
              <w:keepLines w:val="0"/>
              <w:pageBreakBefore w:val="0"/>
              <w:widowControl/>
              <w:kinsoku/>
              <w:overflowPunct/>
              <w:topLinePunct w:val="0"/>
              <w:bidi w:val="0"/>
              <w:spacing w:line="360" w:lineRule="auto"/>
              <w:jc w:val="center"/>
              <w:textAlignment w:val="auto"/>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191" w:type="dxa"/>
            <w:vAlign w:val="center"/>
          </w:tcPr>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依据采购文件的规定，谈判小组还将从响应文件的有效性、完整性和对采购文件的响应程度进行审查，以确定是否符合对采购文件的实质性要求作出响应。（采购人可根据具体项目的情况对实质性要求作特别的规定。）实质性偏离是指：（1）实质性影响合同的范围、质量和履行；（2）实质性违背谈判文件，限制了采购人的权利和成交人合同项下的义务；（3）不公正地影响了其它作出实质性响应的响应人的竞争地位。对没有实质性响应的投标文件将不进行评估，其投标将被拒绝。下列情况之一者，投标文件无效，作为废标处理： (1) 响应文件未按照谈判文件第二章投标人须知前附表“密封及其标记的具体形式”的规定进行密封、标记的；(2)纸质响应文件未按规定由投标人的法定代表人或其授权代表签字，或未加盖投标人公章的；或签字人未经法定代表人有效授权委托的；(3)未按规定提交投标保证金的；(4)响应有效期不满足采购文件要求的；(5)响应内容与招标内容及要求有重大偏离或保留的；(6)投标人提交的是可选择的报价；(7)投标人未按规定对报价进行分项报价；(8)一个投标人不止投一个标；(9)响应文件组成不符合采购文件要求的；(10)响应文件中提供虚假或失实资料的；(11)不满足采购文件资格标准的；(12)每份纸质响应文件应按规定标注正本或副本并胶装成册，未按要求标注并胶装成册（不可拆卸）的；（13）没有如实填报技术规格和商务偏离表或有弄虚作假行为；（14）投标人的投标报价超过预算价的；（15）不符合响应文件中规定的其它实质性条款。</w:t>
            </w:r>
          </w:p>
        </w:tc>
      </w:tr>
    </w:tbl>
    <w:p>
      <w:pPr>
        <w:keepNext w:val="0"/>
        <w:keepLines w:val="0"/>
        <w:pageBreakBefore w:val="0"/>
        <w:widowControl/>
        <w:kinsoku/>
        <w:overflowPunct/>
        <w:topLinePunct w:val="0"/>
        <w:bidi w:val="0"/>
        <w:spacing w:line="360" w:lineRule="auto"/>
        <w:jc w:val="left"/>
        <w:textAlignment w:val="auto"/>
        <w:rPr>
          <w:rFonts w:ascii="宋体" w:hAnsi="宋体" w:eastAsia="宋体" w:cs="宋体"/>
          <w:color w:val="auto"/>
          <w:kern w:val="0"/>
          <w:sz w:val="24"/>
          <w:szCs w:val="24"/>
        </w:rPr>
      </w:pP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谈判小组决定供应商的响应性只根据响应文件本身的内容，而不寻求其他的外部证据。</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14.10供应商提交的响应文件和资料将给予保密，但不退回（有关证件或证照的原件除外）。</w:t>
      </w:r>
    </w:p>
    <w:p>
      <w:pPr>
        <w:keepNext w:val="0"/>
        <w:keepLines w:val="0"/>
        <w:pageBreakBefore w:val="0"/>
        <w:widowControl/>
        <w:kinsoku/>
        <w:overflowPunct/>
        <w:topLinePunct w:val="0"/>
        <w:bidi w:val="0"/>
        <w:spacing w:before="75" w:after="75" w:line="360" w:lineRule="auto"/>
        <w:jc w:val="center"/>
        <w:textAlignment w:val="auto"/>
        <w:outlineLvl w:val="1"/>
        <w:rPr>
          <w:rFonts w:ascii="宋体" w:hAnsi="宋体" w:eastAsia="宋体" w:cs="宋体"/>
          <w:b/>
          <w:bCs/>
          <w:color w:val="auto"/>
          <w:kern w:val="0"/>
          <w:sz w:val="24"/>
          <w:szCs w:val="24"/>
        </w:rPr>
      </w:pPr>
    </w:p>
    <w:p>
      <w:pPr>
        <w:keepNext w:val="0"/>
        <w:keepLines w:val="0"/>
        <w:pageBreakBefore w:val="0"/>
        <w:widowControl/>
        <w:kinsoku/>
        <w:overflowPunct/>
        <w:topLinePunct w:val="0"/>
        <w:bidi w:val="0"/>
        <w:spacing w:before="75" w:after="75" w:line="360" w:lineRule="auto"/>
        <w:jc w:val="center"/>
        <w:textAlignment w:val="auto"/>
        <w:outlineLvl w:val="1"/>
        <w:rPr>
          <w:rFonts w:ascii="宋体" w:hAnsi="宋体" w:eastAsia="宋体" w:cs="宋体"/>
          <w:color w:val="auto"/>
          <w:kern w:val="0"/>
          <w:sz w:val="24"/>
          <w:szCs w:val="24"/>
        </w:rPr>
      </w:pPr>
      <w:r>
        <w:rPr>
          <w:rFonts w:hint="eastAsia" w:ascii="宋体" w:hAnsi="宋体" w:eastAsia="宋体" w:cs="宋体"/>
          <w:b/>
          <w:bCs/>
          <w:color w:val="auto"/>
          <w:kern w:val="0"/>
          <w:sz w:val="24"/>
          <w:szCs w:val="24"/>
        </w:rPr>
        <w:t>五、合同授予</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15.授予合同的准则：</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15.1除不可抗力等因素外，合同将授予响应文件符合竞争性谈判文件要求，能够圆满地履行合同，且被谈判小组推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荐为第一成交候选人的供应商。</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15.3为维护国家利益和社会公共利益，最低报价不是被授予合同的绝对保证。</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16.确定成交供应在商：</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16.1采购人委托代理机构组织竞争性谈判采购活动的，采购代理机构在评审结束后2个工作日内将评审报告送采购人确认。</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17.成交通知:</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18.签订合同：</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18.1采购人与成交供应商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18.2竞争性谈判文件、成交供应商的响应文件及其有关澄清承诺文件等，均为签订政府采购合同的依据和组成部分。</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pPr>
        <w:keepNext w:val="0"/>
        <w:keepLines w:val="0"/>
        <w:pageBreakBefore w:val="0"/>
        <w:widowControl/>
        <w:kinsoku/>
        <w:overflowPunct/>
        <w:topLinePunct w:val="0"/>
        <w:bidi w:val="0"/>
        <w:spacing w:before="75" w:after="75" w:line="360" w:lineRule="auto"/>
        <w:jc w:val="center"/>
        <w:textAlignment w:val="auto"/>
        <w:outlineLvl w:val="1"/>
        <w:rPr>
          <w:rFonts w:ascii="宋体" w:hAnsi="宋体" w:eastAsia="宋体" w:cs="宋体"/>
          <w:b/>
          <w:bCs/>
          <w:color w:val="auto"/>
          <w:kern w:val="0"/>
          <w:sz w:val="24"/>
          <w:szCs w:val="24"/>
        </w:rPr>
      </w:pPr>
    </w:p>
    <w:p>
      <w:pPr>
        <w:keepNext w:val="0"/>
        <w:keepLines w:val="0"/>
        <w:pageBreakBefore w:val="0"/>
        <w:widowControl/>
        <w:kinsoku/>
        <w:overflowPunct/>
        <w:topLinePunct w:val="0"/>
        <w:bidi w:val="0"/>
        <w:spacing w:before="75" w:after="75" w:line="360" w:lineRule="auto"/>
        <w:jc w:val="center"/>
        <w:textAlignment w:val="auto"/>
        <w:outlineLvl w:val="1"/>
        <w:rPr>
          <w:rFonts w:hint="eastAsia" w:ascii="宋体" w:hAnsi="宋体" w:eastAsia="宋体" w:cs="宋体"/>
          <w:b/>
          <w:bCs/>
          <w:color w:val="auto"/>
          <w:kern w:val="0"/>
          <w:sz w:val="24"/>
          <w:szCs w:val="24"/>
        </w:rPr>
      </w:pPr>
    </w:p>
    <w:p>
      <w:pPr>
        <w:keepNext w:val="0"/>
        <w:keepLines w:val="0"/>
        <w:pageBreakBefore w:val="0"/>
        <w:widowControl/>
        <w:kinsoku/>
        <w:overflowPunct/>
        <w:topLinePunct w:val="0"/>
        <w:bidi w:val="0"/>
        <w:spacing w:before="75" w:after="75" w:line="360" w:lineRule="auto"/>
        <w:jc w:val="center"/>
        <w:textAlignment w:val="auto"/>
        <w:outlineLvl w:val="1"/>
        <w:rPr>
          <w:rFonts w:hint="eastAsia" w:ascii="宋体" w:hAnsi="宋体" w:eastAsia="宋体" w:cs="宋体"/>
          <w:b/>
          <w:bCs/>
          <w:color w:val="auto"/>
          <w:kern w:val="0"/>
          <w:sz w:val="24"/>
          <w:szCs w:val="24"/>
        </w:rPr>
      </w:pPr>
    </w:p>
    <w:p>
      <w:pPr>
        <w:keepNext w:val="0"/>
        <w:keepLines w:val="0"/>
        <w:pageBreakBefore w:val="0"/>
        <w:widowControl/>
        <w:kinsoku/>
        <w:overflowPunct/>
        <w:topLinePunct w:val="0"/>
        <w:bidi w:val="0"/>
        <w:spacing w:before="75" w:after="75" w:line="360" w:lineRule="auto"/>
        <w:jc w:val="center"/>
        <w:textAlignment w:val="auto"/>
        <w:outlineLvl w:val="1"/>
        <w:rPr>
          <w:rFonts w:ascii="宋体" w:hAnsi="宋体" w:eastAsia="宋体" w:cs="宋体"/>
          <w:color w:val="auto"/>
          <w:kern w:val="0"/>
          <w:sz w:val="24"/>
          <w:szCs w:val="24"/>
        </w:rPr>
      </w:pPr>
      <w:r>
        <w:rPr>
          <w:rFonts w:hint="eastAsia" w:ascii="宋体" w:hAnsi="宋体" w:eastAsia="宋体" w:cs="宋体"/>
          <w:b/>
          <w:bCs/>
          <w:color w:val="auto"/>
          <w:kern w:val="0"/>
          <w:sz w:val="24"/>
          <w:szCs w:val="24"/>
        </w:rPr>
        <w:t>六、询问、质疑与投诉</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r>
        <w:rPr>
          <w:rFonts w:hint="eastAsia" w:ascii="宋体" w:hAnsi="宋体" w:eastAsia="宋体" w:cs="宋体"/>
          <w:b/>
          <w:bCs/>
          <w:color w:val="auto"/>
          <w:kern w:val="0"/>
          <w:sz w:val="24"/>
          <w:szCs w:val="24"/>
        </w:rPr>
        <w:t>19.询问</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19.1潜在供应商或供应商对本次采购活动的有关事项若有疑问，可向采购人或采购代理机构提出询问，采购人或采购代理机构将按照政府采购法及实施条例的有关规定进行答复。</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20.质疑</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20.1质疑应在政府采购法及实施条例规定的时效内提出，并符合下列条件：</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20.1.2质疑人应提交质疑函原件。</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20.1.3质疑函应包括下列主要内容：</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②所质疑项目的基本信息，至少包括：项目编号、项目名称等；</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③所质疑的具体事项（以下简称：“质疑事项”）；</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④质疑人自身权益受到损害的事实依据和证明材料，至少包括：</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a1所质疑的具体事项事实存在的证明材料；</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a2所质疑的具体事项事实导致质疑人自身权益受到损害的证明材料，如：采购文件、采购过程或成交结果违法违规，损害自已合法权益等证明材料；</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⑤针对质疑事项提出的明确请求和法律依据，</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⑥提出质疑的日期以及质疑人代表联系方式，至少包括：姓名、手机、电子信箱、邮寄地址等。</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20.2对不符合前文第20.1条规定的质疑，采购人或采购代理机构将按照下列规定进行处理：</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20.2.1超过质疑时效提交的或者质疑人不是直接参与所质疑项目采购活动的供应商，书面告知质疑人其质疑不成立的原因和理由。</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keepNext w:val="0"/>
        <w:keepLines w:val="0"/>
        <w:pageBreakBefore w:val="0"/>
        <w:widowControl/>
        <w:kinsoku/>
        <w:overflowPunct/>
        <w:topLinePunct w:val="0"/>
        <w:bidi w:val="0"/>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20.2.3质疑人修改、补充质疑函超过质疑时效提交的按20.2.1款处理。供应商提交质疑函时，要认真阅读本章第20条关于质疑的相关规定，以免内容或资料不齐，需要修改补充而延误时间。</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20.3对符合前文第20.1条规定的质疑，采购人或采购代理机构将按照政府采购法及实施条例的有关规定进行答复。</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21.投诉</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21.1若对质疑答复不满意或质疑答复未在答复期限内作出，质疑人可在答复期限届满之日起15个工作日内向谈判文件中载明的监督管理部门投诉。</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21.1投诉应有明确的请求和必要的证明材料，投诉的事项不得超出已质疑事项的范围。</w:t>
      </w:r>
    </w:p>
    <w:p>
      <w:pPr>
        <w:keepNext w:val="0"/>
        <w:keepLines w:val="0"/>
        <w:pageBreakBefore w:val="0"/>
        <w:widowControl/>
        <w:kinsoku/>
        <w:overflowPunct/>
        <w:topLinePunct w:val="0"/>
        <w:bidi w:val="0"/>
        <w:spacing w:before="75" w:after="75" w:line="360" w:lineRule="auto"/>
        <w:jc w:val="center"/>
        <w:textAlignment w:val="auto"/>
        <w:outlineLvl w:val="1"/>
        <w:rPr>
          <w:rFonts w:ascii="宋体" w:hAnsi="宋体" w:eastAsia="宋体" w:cs="宋体"/>
          <w:b/>
          <w:bCs/>
          <w:color w:val="auto"/>
          <w:kern w:val="0"/>
          <w:sz w:val="24"/>
          <w:szCs w:val="24"/>
        </w:rPr>
      </w:pPr>
    </w:p>
    <w:p>
      <w:pPr>
        <w:keepNext w:val="0"/>
        <w:keepLines w:val="0"/>
        <w:pageBreakBefore w:val="0"/>
        <w:widowControl/>
        <w:kinsoku/>
        <w:overflowPunct/>
        <w:topLinePunct w:val="0"/>
        <w:bidi w:val="0"/>
        <w:spacing w:before="75" w:after="75" w:line="360" w:lineRule="auto"/>
        <w:jc w:val="center"/>
        <w:textAlignment w:val="auto"/>
        <w:outlineLvl w:val="1"/>
        <w:rPr>
          <w:rFonts w:hint="eastAsia" w:ascii="宋体" w:hAnsi="宋体" w:eastAsia="宋体" w:cs="宋体"/>
          <w:b/>
          <w:bCs/>
          <w:color w:val="auto"/>
          <w:kern w:val="0"/>
          <w:sz w:val="24"/>
          <w:szCs w:val="24"/>
        </w:rPr>
      </w:pPr>
    </w:p>
    <w:p>
      <w:pPr>
        <w:keepNext w:val="0"/>
        <w:keepLines w:val="0"/>
        <w:pageBreakBefore w:val="0"/>
        <w:widowControl/>
        <w:kinsoku/>
        <w:overflowPunct/>
        <w:topLinePunct w:val="0"/>
        <w:bidi w:val="0"/>
        <w:spacing w:before="75" w:after="75" w:line="360" w:lineRule="auto"/>
        <w:jc w:val="center"/>
        <w:textAlignment w:val="auto"/>
        <w:outlineLvl w:val="1"/>
        <w:rPr>
          <w:rFonts w:ascii="宋体" w:hAnsi="宋体" w:eastAsia="宋体" w:cs="宋体"/>
          <w:color w:val="auto"/>
          <w:kern w:val="0"/>
          <w:sz w:val="24"/>
          <w:szCs w:val="24"/>
        </w:rPr>
      </w:pPr>
      <w:r>
        <w:rPr>
          <w:rFonts w:hint="eastAsia" w:ascii="宋体" w:hAnsi="宋体" w:eastAsia="宋体" w:cs="宋体"/>
          <w:b/>
          <w:bCs/>
          <w:color w:val="auto"/>
          <w:kern w:val="0"/>
          <w:sz w:val="24"/>
          <w:szCs w:val="24"/>
        </w:rPr>
        <w:t>七、有关信息公告和监督部门</w:t>
      </w:r>
    </w:p>
    <w:p>
      <w:pPr>
        <w:keepNext w:val="0"/>
        <w:keepLines w:val="0"/>
        <w:pageBreakBefore w:val="0"/>
        <w:widowControl/>
        <w:kinsoku/>
        <w:overflowPunct/>
        <w:topLinePunct w:val="0"/>
        <w:bidi w:val="0"/>
        <w:spacing w:before="75" w:after="75" w:line="360" w:lineRule="auto"/>
        <w:jc w:val="center"/>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 </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22.政府采购信息公告媒体</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22.2信息公告指定媒体：详见竞争性谈判须知前附表第8项。</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23.监督管理部门</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23.1谈判采购活动的监督管理部门详见竞争性谈判须知前附表第9项。</w:t>
      </w:r>
    </w:p>
    <w:p>
      <w:pPr>
        <w:keepNext w:val="0"/>
        <w:keepLines w:val="0"/>
        <w:pageBreakBefore w:val="0"/>
        <w:widowControl/>
        <w:kinsoku/>
        <w:overflowPunct/>
        <w:topLinePunct w:val="0"/>
        <w:bidi w:val="0"/>
        <w:spacing w:before="75" w:after="75" w:line="360" w:lineRule="auto"/>
        <w:jc w:val="center"/>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 </w:t>
      </w:r>
    </w:p>
    <w:p>
      <w:pPr>
        <w:keepNext w:val="0"/>
        <w:keepLines w:val="0"/>
        <w:pageBreakBefore w:val="0"/>
        <w:widowControl/>
        <w:kinsoku/>
        <w:overflowPunct/>
        <w:topLinePunct w:val="0"/>
        <w:bidi w:val="0"/>
        <w:spacing w:before="75" w:after="75" w:line="360" w:lineRule="auto"/>
        <w:jc w:val="both"/>
        <w:textAlignment w:val="auto"/>
        <w:outlineLvl w:val="1"/>
        <w:rPr>
          <w:rFonts w:hint="eastAsia" w:ascii="宋体" w:hAnsi="宋体" w:eastAsia="宋体" w:cs="宋体"/>
          <w:b/>
          <w:bCs/>
          <w:color w:val="auto"/>
          <w:kern w:val="0"/>
          <w:sz w:val="24"/>
          <w:szCs w:val="24"/>
        </w:rPr>
      </w:pPr>
    </w:p>
    <w:p>
      <w:pPr>
        <w:keepNext w:val="0"/>
        <w:keepLines w:val="0"/>
        <w:pageBreakBefore w:val="0"/>
        <w:widowControl/>
        <w:kinsoku/>
        <w:overflowPunct/>
        <w:topLinePunct w:val="0"/>
        <w:bidi w:val="0"/>
        <w:spacing w:before="75" w:after="75" w:line="360" w:lineRule="auto"/>
        <w:jc w:val="center"/>
        <w:textAlignment w:val="auto"/>
        <w:outlineLvl w:val="1"/>
        <w:rPr>
          <w:rFonts w:hint="eastAsia" w:ascii="宋体" w:hAnsi="宋体" w:eastAsia="宋体" w:cs="宋体"/>
          <w:b/>
          <w:bCs/>
          <w:color w:val="auto"/>
          <w:kern w:val="0"/>
          <w:sz w:val="24"/>
          <w:szCs w:val="24"/>
        </w:rPr>
      </w:pPr>
    </w:p>
    <w:p>
      <w:pPr>
        <w:keepNext w:val="0"/>
        <w:keepLines w:val="0"/>
        <w:pageBreakBefore w:val="0"/>
        <w:widowControl/>
        <w:kinsoku/>
        <w:overflowPunct/>
        <w:topLinePunct w:val="0"/>
        <w:bidi w:val="0"/>
        <w:spacing w:before="75" w:after="75" w:line="360" w:lineRule="auto"/>
        <w:jc w:val="center"/>
        <w:textAlignment w:val="auto"/>
        <w:outlineLvl w:val="1"/>
        <w:rPr>
          <w:rFonts w:ascii="宋体" w:hAnsi="宋体" w:eastAsia="宋体" w:cs="宋体"/>
          <w:color w:val="auto"/>
          <w:kern w:val="0"/>
          <w:sz w:val="24"/>
          <w:szCs w:val="24"/>
        </w:rPr>
      </w:pPr>
      <w:r>
        <w:rPr>
          <w:rFonts w:hint="eastAsia" w:ascii="宋体" w:hAnsi="宋体" w:eastAsia="宋体" w:cs="宋体"/>
          <w:b/>
          <w:bCs/>
          <w:color w:val="auto"/>
          <w:kern w:val="0"/>
          <w:sz w:val="24"/>
          <w:szCs w:val="24"/>
        </w:rPr>
        <w:t>八、根据采购项目特点或政策需要补充的其他内容</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24.履约保证金</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24.1采购人可以根据项目特点和需要，确定是否要求成交供应商在合同签订前，按照谈判文件规定的时间、形式、金额提交履约保证金，履约保证金的数额不超过中标合同金额的10%，具体详见竞争性谈判须知前附表第10项规定。</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24.2谈判文件要求在合同签订前提交履约保证金，如果成交供应商无故拖延或者拒不提交履约保证金的，则视为成交供应商拒绝与采购人签订合同，该成交供应商将承担违法行为的法律责任。</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25.其他新增内容：</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根据采购项目特点或政策需要补充的其他新增内容详见竞争性谈判须知前附表第11项。</w:t>
      </w:r>
    </w:p>
    <w:p>
      <w:pPr>
        <w:keepNext w:val="0"/>
        <w:keepLines w:val="0"/>
        <w:pageBreakBefore w:val="0"/>
        <w:kinsoku/>
        <w:overflowPunct/>
        <w:topLinePunct w:val="0"/>
        <w:bidi w:val="0"/>
        <w:spacing w:line="360" w:lineRule="auto"/>
        <w:jc w:val="both"/>
        <w:textAlignment w:val="auto"/>
        <w:rPr>
          <w:rFonts w:hint="eastAsia" w:ascii="宋体" w:hAnsi="宋体" w:eastAsia="宋体" w:cs="宋体"/>
          <w:b/>
          <w:bCs/>
          <w:color w:val="auto"/>
          <w:kern w:val="0"/>
          <w:sz w:val="32"/>
          <w:szCs w:val="32"/>
        </w:rPr>
      </w:pPr>
    </w:p>
    <w:p>
      <w:pPr>
        <w:keepNext w:val="0"/>
        <w:keepLines w:val="0"/>
        <w:pageBreakBefore w:val="0"/>
        <w:kinsoku/>
        <w:overflowPunct/>
        <w:topLinePunct w:val="0"/>
        <w:bidi w:val="0"/>
        <w:spacing w:line="360" w:lineRule="auto"/>
        <w:jc w:val="center"/>
        <w:textAlignment w:val="auto"/>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第三章  采购内容及要求</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numPr>
          <w:ilvl w:val="0"/>
          <w:numId w:val="4"/>
        </w:numPr>
        <w:kinsoku/>
        <w:overflowPunct/>
        <w:topLinePunct w:val="0"/>
        <w:bidi w:val="0"/>
        <w:spacing w:before="75" w:after="75" w:line="360" w:lineRule="auto"/>
        <w:jc w:val="left"/>
        <w:textAlignment w:val="auto"/>
        <w:outlineLvl w:val="1"/>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项目概况</w:t>
      </w:r>
    </w:p>
    <w:p>
      <w:pPr>
        <w:keepNext w:val="0"/>
        <w:keepLines w:val="0"/>
        <w:pageBreakBefore w:val="0"/>
        <w:numPr>
          <w:ilvl w:val="0"/>
          <w:numId w:val="0"/>
        </w:numPr>
        <w:kinsoku/>
        <w:overflowPunct/>
        <w:topLinePunct w:val="0"/>
        <w:bidi w:val="0"/>
        <w:adjustRightInd w:val="0"/>
        <w:snapToGrid w:val="0"/>
        <w:spacing w:line="360" w:lineRule="auto"/>
        <w:ind w:firstLine="480" w:firstLineChars="200"/>
        <w:textAlignment w:val="auto"/>
        <w:outlineLvl w:val="1"/>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泉州师范学院主校区青年教师公寓，目前水电收费模式采用人工抄计方式，其存在的弊端已不能满足现有管理需求。随着高校信息化建设的迅速发展，省内部分高校已实现了公寓水电智能化管理，现拟将青年</w:t>
      </w:r>
      <w:r>
        <w:rPr>
          <w:rFonts w:hint="eastAsia" w:ascii="宋体" w:hAnsi="宋体" w:eastAsia="宋体" w:cs="宋体"/>
          <w:b w:val="0"/>
          <w:bCs/>
          <w:color w:val="auto"/>
          <w:kern w:val="0"/>
          <w:sz w:val="24"/>
          <w:szCs w:val="24"/>
          <w:lang w:eastAsia="zh-CN"/>
        </w:rPr>
        <w:t>教师</w:t>
      </w:r>
      <w:r>
        <w:rPr>
          <w:rFonts w:hint="eastAsia" w:ascii="宋体" w:hAnsi="宋体" w:eastAsia="宋体" w:cs="宋体"/>
          <w:b w:val="0"/>
          <w:bCs/>
          <w:color w:val="auto"/>
          <w:kern w:val="0"/>
          <w:sz w:val="24"/>
          <w:szCs w:val="24"/>
        </w:rPr>
        <w:t>公寓原有机械水、电表进行改造，以实现智能管理。</w:t>
      </w:r>
    </w:p>
    <w:p>
      <w:pPr>
        <w:keepNext w:val="0"/>
        <w:keepLines w:val="0"/>
        <w:pageBreakBefore w:val="0"/>
        <w:numPr>
          <w:ilvl w:val="0"/>
          <w:numId w:val="0"/>
        </w:numPr>
        <w:kinsoku/>
        <w:overflowPunct/>
        <w:topLinePunct w:val="0"/>
        <w:bidi w:val="0"/>
        <w:adjustRightInd w:val="0"/>
        <w:snapToGrid w:val="0"/>
        <w:spacing w:line="360" w:lineRule="auto"/>
        <w:ind w:firstLine="480" w:firstLineChars="200"/>
        <w:textAlignment w:val="auto"/>
        <w:outlineLvl w:val="1"/>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改造后智能水电管理系统需实现：</w:t>
      </w:r>
    </w:p>
    <w:p>
      <w:pPr>
        <w:keepNext w:val="0"/>
        <w:keepLines w:val="0"/>
        <w:pageBreakBefore w:val="0"/>
        <w:numPr>
          <w:ilvl w:val="0"/>
          <w:numId w:val="0"/>
        </w:numPr>
        <w:kinsoku/>
        <w:overflowPunct/>
        <w:topLinePunct w:val="0"/>
        <w:bidi w:val="0"/>
        <w:adjustRightInd w:val="0"/>
        <w:snapToGrid w:val="0"/>
        <w:spacing w:line="360" w:lineRule="auto"/>
        <w:ind w:firstLine="480" w:firstLineChars="200"/>
        <w:textAlignment w:val="auto"/>
        <w:outlineLvl w:val="1"/>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lang w:eastAsia="zh-CN"/>
        </w:rPr>
        <w:t>（一）</w:t>
      </w:r>
      <w:r>
        <w:rPr>
          <w:rFonts w:hint="eastAsia" w:ascii="宋体" w:hAnsi="宋体" w:eastAsia="宋体" w:cs="宋体"/>
          <w:b w:val="0"/>
          <w:bCs/>
          <w:color w:val="auto"/>
          <w:kern w:val="0"/>
          <w:sz w:val="24"/>
          <w:szCs w:val="24"/>
        </w:rPr>
        <w:t>采用自动实时抄表，自动结算（预收费），减少了日常人为工作的繁琐与弊端。</w:t>
      </w:r>
    </w:p>
    <w:p>
      <w:pPr>
        <w:keepNext w:val="0"/>
        <w:keepLines w:val="0"/>
        <w:pageBreakBefore w:val="0"/>
        <w:numPr>
          <w:ilvl w:val="0"/>
          <w:numId w:val="0"/>
        </w:numPr>
        <w:kinsoku/>
        <w:overflowPunct/>
        <w:topLinePunct w:val="0"/>
        <w:bidi w:val="0"/>
        <w:adjustRightInd w:val="0"/>
        <w:snapToGrid w:val="0"/>
        <w:spacing w:line="360" w:lineRule="auto"/>
        <w:ind w:firstLine="480" w:firstLineChars="200"/>
        <w:textAlignment w:val="auto"/>
        <w:outlineLvl w:val="1"/>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lang w:eastAsia="zh-CN"/>
        </w:rPr>
        <w:t>（二）</w:t>
      </w:r>
      <w:r>
        <w:rPr>
          <w:rFonts w:hint="eastAsia" w:ascii="宋体" w:hAnsi="宋体" w:eastAsia="宋体" w:cs="宋体"/>
          <w:b w:val="0"/>
          <w:bCs/>
          <w:color w:val="auto"/>
          <w:kern w:val="0"/>
          <w:sz w:val="24"/>
          <w:szCs w:val="24"/>
        </w:rPr>
        <w:t>根据实际情况设定相应的负载功率，避免高功率电器超负荷带来的安全隐患。</w:t>
      </w:r>
    </w:p>
    <w:p>
      <w:pPr>
        <w:keepNext w:val="0"/>
        <w:keepLines w:val="0"/>
        <w:pageBreakBefore w:val="0"/>
        <w:numPr>
          <w:ilvl w:val="0"/>
          <w:numId w:val="0"/>
        </w:numPr>
        <w:kinsoku/>
        <w:overflowPunct/>
        <w:topLinePunct w:val="0"/>
        <w:bidi w:val="0"/>
        <w:adjustRightInd w:val="0"/>
        <w:snapToGrid w:val="0"/>
        <w:spacing w:line="360" w:lineRule="auto"/>
        <w:ind w:firstLine="480" w:firstLineChars="200"/>
        <w:textAlignment w:val="auto"/>
        <w:outlineLvl w:val="1"/>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lang w:eastAsia="zh-CN"/>
        </w:rPr>
        <w:t>（三）</w:t>
      </w:r>
      <w:r>
        <w:rPr>
          <w:rFonts w:hint="eastAsia" w:ascii="宋体" w:hAnsi="宋体" w:eastAsia="宋体" w:cs="宋体"/>
          <w:b w:val="0"/>
          <w:bCs/>
          <w:color w:val="auto"/>
          <w:kern w:val="0"/>
          <w:sz w:val="24"/>
          <w:szCs w:val="24"/>
        </w:rPr>
        <w:t>学生每月水电额度使用，实现批量导入，减少人工统计工作量。</w:t>
      </w:r>
    </w:p>
    <w:p>
      <w:pPr>
        <w:keepNext w:val="0"/>
        <w:keepLines w:val="0"/>
        <w:pageBreakBefore w:val="0"/>
        <w:numPr>
          <w:ilvl w:val="0"/>
          <w:numId w:val="0"/>
        </w:numPr>
        <w:kinsoku/>
        <w:overflowPunct/>
        <w:topLinePunct w:val="0"/>
        <w:bidi w:val="0"/>
        <w:adjustRightInd w:val="0"/>
        <w:snapToGrid w:val="0"/>
        <w:spacing w:line="360" w:lineRule="auto"/>
        <w:ind w:firstLine="480" w:firstLineChars="200"/>
        <w:textAlignment w:val="auto"/>
        <w:outlineLvl w:val="1"/>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lang w:eastAsia="zh-CN"/>
        </w:rPr>
        <w:t>（四）</w:t>
      </w:r>
      <w:r>
        <w:rPr>
          <w:rFonts w:hint="eastAsia" w:ascii="宋体" w:hAnsi="宋体" w:eastAsia="宋体" w:cs="宋体"/>
          <w:b w:val="0"/>
          <w:bCs/>
          <w:color w:val="auto"/>
          <w:kern w:val="0"/>
          <w:sz w:val="24"/>
          <w:szCs w:val="24"/>
        </w:rPr>
        <w:t>师生通过线下线上相应的支付系统（校园一卡通完美校园）等渠道完成信息查询、充值缴费等，实现24小时无值守不间断服务，可大大提高服务效率。</w:t>
      </w:r>
    </w:p>
    <w:p>
      <w:pPr>
        <w:keepNext w:val="0"/>
        <w:keepLines w:val="0"/>
        <w:pageBreakBefore w:val="0"/>
        <w:numPr>
          <w:ilvl w:val="0"/>
          <w:numId w:val="0"/>
        </w:numPr>
        <w:kinsoku/>
        <w:overflowPunct/>
        <w:topLinePunct w:val="0"/>
        <w:bidi w:val="0"/>
        <w:adjustRightInd w:val="0"/>
        <w:snapToGrid w:val="0"/>
        <w:spacing w:line="360" w:lineRule="auto"/>
        <w:textAlignment w:val="auto"/>
        <w:outlineLvl w:val="1"/>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eastAsia="zh-CN"/>
        </w:rPr>
        <w:t>二、</w:t>
      </w:r>
      <w:r>
        <w:rPr>
          <w:rFonts w:hint="eastAsia" w:ascii="宋体" w:hAnsi="宋体" w:eastAsia="宋体" w:cs="宋体"/>
          <w:b/>
          <w:color w:val="auto"/>
          <w:kern w:val="0"/>
          <w:sz w:val="24"/>
          <w:szCs w:val="24"/>
        </w:rPr>
        <w:t>技术和服务要求</w:t>
      </w:r>
    </w:p>
    <w:p>
      <w:pPr>
        <w:pStyle w:val="2"/>
        <w:keepNext w:val="0"/>
        <w:keepLines w:val="0"/>
        <w:pageBreakBefore w:val="0"/>
        <w:kinsoku/>
        <w:overflowPunct/>
        <w:topLinePunct w:val="0"/>
        <w:bidi w:val="0"/>
        <w:spacing w:line="360" w:lineRule="auto"/>
        <w:ind w:firstLine="480" w:firstLineChars="200"/>
        <w:textAlignment w:val="auto"/>
        <w:rPr>
          <w:rFonts w:hint="eastAsia"/>
          <w:color w:val="auto"/>
        </w:rPr>
      </w:pPr>
      <w:r>
        <w:rPr>
          <w:rFonts w:hint="eastAsia"/>
          <w:color w:val="auto"/>
        </w:rPr>
        <w:t>此次建设的预付费智能电控管理子系统、预付费智能远传冷水表管理子系统需无缝对接学校</w:t>
      </w:r>
      <w:r>
        <w:rPr>
          <w:rFonts w:hint="eastAsia"/>
          <w:color w:val="auto"/>
          <w:lang w:eastAsia="zh-CN"/>
        </w:rPr>
        <w:t>现</w:t>
      </w:r>
      <w:r>
        <w:rPr>
          <w:rFonts w:hint="eastAsia"/>
          <w:color w:val="auto"/>
        </w:rPr>
        <w:t>有校园一卡通平台，要求所有的刷卡和</w:t>
      </w:r>
      <w:r>
        <w:rPr>
          <w:rFonts w:hint="eastAsia"/>
          <w:color w:val="auto"/>
          <w:lang w:eastAsia="zh-CN"/>
        </w:rPr>
        <w:t>线上充值</w:t>
      </w:r>
      <w:r>
        <w:rPr>
          <w:rFonts w:hint="eastAsia"/>
          <w:color w:val="auto"/>
        </w:rPr>
        <w:t>数据上传至校园一卡通平台。学生持</w:t>
      </w:r>
      <w:r>
        <w:rPr>
          <w:rFonts w:hint="eastAsia"/>
          <w:color w:val="auto"/>
          <w:lang w:eastAsia="zh-CN"/>
        </w:rPr>
        <w:t>现有</w:t>
      </w:r>
      <w:r>
        <w:rPr>
          <w:rFonts w:hint="eastAsia"/>
          <w:color w:val="auto"/>
        </w:rPr>
        <w:t>校园卡可直接在此系统上使用，所有刷卡的消费数据上传至校园一卡通平台进行统一管理，统一结算。若成交后无法达到以上要求，采购人有权要求退货，且还应赔偿采购人因此造成的一切损失。投标人必须对此做出书面承诺并加盖公章，否则视为投标无效。</w:t>
      </w:r>
    </w:p>
    <w:p>
      <w:pPr>
        <w:pStyle w:val="2"/>
        <w:keepNext w:val="0"/>
        <w:keepLines w:val="0"/>
        <w:pageBreakBefore w:val="0"/>
        <w:kinsoku/>
        <w:overflowPunct/>
        <w:topLinePunct w:val="0"/>
        <w:bidi w:val="0"/>
        <w:spacing w:line="360" w:lineRule="auto"/>
        <w:ind w:firstLine="480" w:firstLineChars="200"/>
        <w:textAlignment w:val="auto"/>
        <w:rPr>
          <w:rFonts w:hint="eastAsia"/>
          <w:color w:val="auto"/>
        </w:rPr>
      </w:pPr>
      <w:r>
        <w:rPr>
          <w:rFonts w:hint="eastAsia"/>
          <w:color w:val="auto"/>
        </w:rPr>
        <w:t>投标人在投标文件中须提供与一卡通系统原厂商签订的《一卡通技术开发保密协议》，以确保可以使用原厂技术保密资料，满足本系统建设需求，否则视为未实质性响应招标要求，为投标无效。</w:t>
      </w:r>
    </w:p>
    <w:p>
      <w:pPr>
        <w:pStyle w:val="2"/>
        <w:keepNext w:val="0"/>
        <w:keepLines w:val="0"/>
        <w:pageBreakBefore w:val="0"/>
        <w:kinsoku/>
        <w:overflowPunct/>
        <w:topLinePunct w:val="0"/>
        <w:bidi w:val="0"/>
        <w:spacing w:line="360" w:lineRule="auto"/>
        <w:textAlignment w:val="auto"/>
        <w:rPr>
          <w:rFonts w:hint="eastAsia"/>
          <w:color w:val="auto"/>
        </w:rPr>
      </w:pPr>
    </w:p>
    <w:p>
      <w:pPr>
        <w:pStyle w:val="2"/>
        <w:keepNext w:val="0"/>
        <w:keepLines w:val="0"/>
        <w:pageBreakBefore w:val="0"/>
        <w:kinsoku/>
        <w:overflowPunct/>
        <w:topLinePunct w:val="0"/>
        <w:bidi w:val="0"/>
        <w:spacing w:line="360" w:lineRule="auto"/>
        <w:textAlignment w:val="auto"/>
        <w:rPr>
          <w:rFonts w:hint="eastAsia"/>
          <w:color w:val="auto"/>
        </w:rPr>
      </w:pPr>
    </w:p>
    <w:p>
      <w:pPr>
        <w:pStyle w:val="2"/>
        <w:keepNext w:val="0"/>
        <w:keepLines w:val="0"/>
        <w:pageBreakBefore w:val="0"/>
        <w:kinsoku/>
        <w:overflowPunct/>
        <w:topLinePunct w:val="0"/>
        <w:bidi w:val="0"/>
        <w:spacing w:line="360" w:lineRule="auto"/>
        <w:textAlignment w:val="auto"/>
        <w:rPr>
          <w:rFonts w:hint="eastAsia"/>
          <w:color w:val="auto"/>
        </w:rPr>
      </w:pPr>
    </w:p>
    <w:p>
      <w:pPr>
        <w:pStyle w:val="2"/>
        <w:keepNext w:val="0"/>
        <w:keepLines w:val="0"/>
        <w:pageBreakBefore w:val="0"/>
        <w:kinsoku/>
        <w:overflowPunct/>
        <w:topLinePunct w:val="0"/>
        <w:bidi w:val="0"/>
        <w:spacing w:line="360" w:lineRule="auto"/>
        <w:textAlignment w:val="auto"/>
        <w:rPr>
          <w:rFonts w:hint="eastAsia"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eastAsia="zh-CN"/>
        </w:rPr>
        <w:t>（</w:t>
      </w:r>
      <w:r>
        <w:rPr>
          <w:rFonts w:hint="eastAsia" w:ascii="宋体" w:hAnsi="宋体" w:cs="宋体"/>
          <w:b w:val="0"/>
          <w:bCs/>
          <w:color w:val="auto"/>
          <w:kern w:val="0"/>
          <w:sz w:val="24"/>
          <w:szCs w:val="24"/>
          <w:lang w:val="en-US" w:eastAsia="zh-CN"/>
        </w:rPr>
        <w:t>一</w:t>
      </w:r>
      <w:r>
        <w:rPr>
          <w:rFonts w:hint="eastAsia" w:ascii="宋体" w:hAnsi="宋体" w:cs="宋体"/>
          <w:b w:val="0"/>
          <w:bCs/>
          <w:color w:val="auto"/>
          <w:kern w:val="0"/>
          <w:sz w:val="24"/>
          <w:szCs w:val="24"/>
          <w:lang w:eastAsia="zh-CN"/>
        </w:rPr>
        <w:t>）</w:t>
      </w:r>
      <w:r>
        <w:rPr>
          <w:rFonts w:hint="eastAsia" w:ascii="宋体" w:hAnsi="宋体" w:cs="宋体"/>
          <w:b w:val="0"/>
          <w:bCs/>
          <w:color w:val="auto"/>
          <w:kern w:val="0"/>
          <w:sz w:val="24"/>
          <w:szCs w:val="24"/>
          <w:lang w:val="en-US" w:eastAsia="zh-CN"/>
        </w:rPr>
        <w:t>技术要求</w:t>
      </w:r>
    </w:p>
    <w:p>
      <w:pPr>
        <w:pStyle w:val="2"/>
        <w:keepNext w:val="0"/>
        <w:keepLines w:val="0"/>
        <w:pageBreakBefore w:val="0"/>
        <w:kinsoku/>
        <w:overflowPunct/>
        <w:topLinePunct w:val="0"/>
        <w:bidi w:val="0"/>
        <w:spacing w:line="360" w:lineRule="auto"/>
        <w:textAlignment w:val="auto"/>
        <w:rPr>
          <w:rFonts w:hint="default" w:ascii="宋体" w:hAnsi="宋体" w:cs="宋体"/>
          <w:b/>
          <w:color w:val="auto"/>
          <w:kern w:val="0"/>
          <w:sz w:val="24"/>
          <w:szCs w:val="24"/>
          <w:lang w:val="en-US" w:eastAsia="zh-CN"/>
        </w:rPr>
      </w:pPr>
    </w:p>
    <w:tbl>
      <w:tblPr>
        <w:tblStyle w:val="11"/>
        <w:tblW w:w="8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812"/>
        <w:gridCol w:w="4638"/>
        <w:gridCol w:w="750"/>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pStyle w:val="2"/>
              <w:keepNext w:val="0"/>
              <w:keepLines w:val="0"/>
              <w:pageBreakBefore w:val="0"/>
              <w:kinsoku/>
              <w:overflowPunct/>
              <w:topLinePunct w:val="0"/>
              <w:bidi w:val="0"/>
              <w:spacing w:line="360" w:lineRule="auto"/>
              <w:jc w:val="center"/>
              <w:textAlignment w:val="auto"/>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序号</w:t>
            </w:r>
          </w:p>
        </w:tc>
        <w:tc>
          <w:tcPr>
            <w:tcW w:w="1812" w:type="dxa"/>
            <w:vAlign w:val="center"/>
          </w:tcPr>
          <w:p>
            <w:pPr>
              <w:pStyle w:val="2"/>
              <w:keepNext w:val="0"/>
              <w:keepLines w:val="0"/>
              <w:pageBreakBefore w:val="0"/>
              <w:kinsoku/>
              <w:overflowPunct/>
              <w:topLinePunct w:val="0"/>
              <w:bidi w:val="0"/>
              <w:spacing w:line="360" w:lineRule="auto"/>
              <w:jc w:val="center"/>
              <w:textAlignment w:val="auto"/>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名称</w:t>
            </w:r>
          </w:p>
        </w:tc>
        <w:tc>
          <w:tcPr>
            <w:tcW w:w="4638" w:type="dxa"/>
            <w:vAlign w:val="center"/>
          </w:tcPr>
          <w:p>
            <w:pPr>
              <w:pStyle w:val="2"/>
              <w:keepNext w:val="0"/>
              <w:keepLines w:val="0"/>
              <w:pageBreakBefore w:val="0"/>
              <w:kinsoku/>
              <w:overflowPunct/>
              <w:topLinePunct w:val="0"/>
              <w:bidi w:val="0"/>
              <w:spacing w:line="360" w:lineRule="auto"/>
              <w:jc w:val="center"/>
              <w:textAlignment w:val="auto"/>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参数要求</w:t>
            </w:r>
          </w:p>
        </w:tc>
        <w:tc>
          <w:tcPr>
            <w:tcW w:w="750" w:type="dxa"/>
            <w:vAlign w:val="center"/>
          </w:tcPr>
          <w:p>
            <w:pPr>
              <w:pStyle w:val="2"/>
              <w:keepNext w:val="0"/>
              <w:keepLines w:val="0"/>
              <w:pageBreakBefore w:val="0"/>
              <w:kinsoku/>
              <w:overflowPunct/>
              <w:topLinePunct w:val="0"/>
              <w:bidi w:val="0"/>
              <w:spacing w:line="360" w:lineRule="auto"/>
              <w:jc w:val="center"/>
              <w:textAlignment w:val="auto"/>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单位</w:t>
            </w:r>
          </w:p>
        </w:tc>
        <w:tc>
          <w:tcPr>
            <w:tcW w:w="716" w:type="dxa"/>
            <w:vAlign w:val="center"/>
          </w:tcPr>
          <w:p>
            <w:pPr>
              <w:pStyle w:val="2"/>
              <w:keepNext w:val="0"/>
              <w:keepLines w:val="0"/>
              <w:pageBreakBefore w:val="0"/>
              <w:kinsoku/>
              <w:overflowPunct/>
              <w:topLinePunct w:val="0"/>
              <w:bidi w:val="0"/>
              <w:spacing w:line="360" w:lineRule="auto"/>
              <w:jc w:val="center"/>
              <w:textAlignment w:val="auto"/>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pStyle w:val="2"/>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w:t>
            </w:r>
          </w:p>
        </w:tc>
        <w:tc>
          <w:tcPr>
            <w:tcW w:w="1812" w:type="dxa"/>
            <w:vAlign w:val="center"/>
          </w:tcPr>
          <w:p>
            <w:pPr>
              <w:pStyle w:val="2"/>
              <w:keepNext w:val="0"/>
              <w:keepLines w:val="0"/>
              <w:pageBreakBefore w:val="0"/>
              <w:kinsoku/>
              <w:overflowPunct/>
              <w:topLinePunct w:val="0"/>
              <w:bidi w:val="0"/>
              <w:spacing w:line="360" w:lineRule="auto"/>
              <w:jc w:val="both"/>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物联网水电管理系统软件</w:t>
            </w:r>
          </w:p>
        </w:tc>
        <w:tc>
          <w:tcPr>
            <w:tcW w:w="4638" w:type="dxa"/>
            <w:vAlign w:val="center"/>
          </w:tcPr>
          <w:p>
            <w:pPr>
              <w:pStyle w:val="2"/>
              <w:keepNext w:val="0"/>
              <w:keepLines w:val="0"/>
              <w:pageBreakBefore w:val="0"/>
              <w:kinsoku/>
              <w:overflowPunct/>
              <w:topLinePunct w:val="0"/>
              <w:bidi w:val="0"/>
              <w:spacing w:line="360" w:lineRule="auto"/>
              <w:jc w:val="both"/>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1)水电系统B/S架构，方便管理和维护</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2)月补电量功能：根据学校及学生寝室的具体情况设定相关的月补电量，免费使用一定额度电量；支持补助电量自动下发，支持补助清零、补助有效期，提供软件评测中心出具的测试报告（报告须明确响应此项功能指标）；</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3)实时计量，实时精确计量每个房间的用电信息；</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4)负载管理功能，可设置房间的最大负载值，并可根据需要随时对负载值进行调整，超负荷将自动断电，并记录数据；</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5)瞬时功率显示，可对不同的房间查询当前使用的功率大小；</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6)无费断电功能，可设置欠费断电提示、透支额度，无费断电，缴费供电；</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7)低量报警功能，支持低电量报警，剩余电量低于限值时，支持以网络、电话、短信、LED显示屏等多种方式提醒用户；</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8)支持水电联动，房间的水用完断电处理，实现停电不停水，以保障学生最基本的生活需要。（提供软件截图进行佐证）；</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9)实时监控功能，要求软件的监控界面实时地看到所有房间的用电情况、设备联机情况、可以监控到功率、电压、电表温度、剩余电量；</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10)温度检测，支持报警温度设置，模块温度上限设置（提供软件截图进行佐证）；</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11)支持</w:t>
            </w:r>
            <w:r>
              <w:rPr>
                <w:rFonts w:hint="eastAsia" w:ascii="宋体" w:hAnsi="宋体" w:eastAsia="宋体" w:cs="宋体"/>
                <w:color w:val="auto"/>
                <w:sz w:val="21"/>
                <w:szCs w:val="21"/>
                <w:vertAlign w:val="baseline"/>
                <w:lang w:val="en-US" w:eastAsia="zh-CN"/>
              </w:rPr>
              <w:t>利用现有校园卡及校园一卡通“完美校园”</w:t>
            </w:r>
            <w:r>
              <w:rPr>
                <w:rFonts w:hint="eastAsia" w:ascii="宋体" w:hAnsi="宋体" w:eastAsia="宋体" w:cs="宋体"/>
                <w:color w:val="auto"/>
                <w:sz w:val="21"/>
                <w:szCs w:val="21"/>
                <w:vertAlign w:val="baseline"/>
              </w:rPr>
              <w:t>线上线下购水购电。</w:t>
            </w:r>
          </w:p>
        </w:tc>
        <w:tc>
          <w:tcPr>
            <w:tcW w:w="750" w:type="dxa"/>
            <w:vAlign w:val="center"/>
          </w:tcPr>
          <w:p>
            <w:pPr>
              <w:pStyle w:val="2"/>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cs="宋体"/>
                <w:color w:val="auto"/>
                <w:sz w:val="21"/>
                <w:szCs w:val="21"/>
                <w:vertAlign w:val="baseline"/>
                <w:lang w:eastAsia="zh-CN"/>
              </w:rPr>
              <w:t>套</w:t>
            </w:r>
          </w:p>
        </w:tc>
        <w:tc>
          <w:tcPr>
            <w:tcW w:w="716" w:type="dxa"/>
            <w:vAlign w:val="center"/>
          </w:tcPr>
          <w:p>
            <w:pPr>
              <w:pStyle w:val="2"/>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pStyle w:val="2"/>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2</w:t>
            </w:r>
          </w:p>
        </w:tc>
        <w:tc>
          <w:tcPr>
            <w:tcW w:w="1812" w:type="dxa"/>
            <w:vAlign w:val="center"/>
          </w:tcPr>
          <w:p>
            <w:pPr>
              <w:pStyle w:val="2"/>
              <w:keepNext w:val="0"/>
              <w:keepLines w:val="0"/>
              <w:pageBreakBefore w:val="0"/>
              <w:kinsoku/>
              <w:overflowPunct/>
              <w:topLinePunct w:val="0"/>
              <w:bidi w:val="0"/>
              <w:spacing w:line="360" w:lineRule="auto"/>
              <w:jc w:val="both"/>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管理机</w:t>
            </w:r>
          </w:p>
        </w:tc>
        <w:tc>
          <w:tcPr>
            <w:tcW w:w="4638" w:type="dxa"/>
            <w:vAlign w:val="center"/>
          </w:tcPr>
          <w:p>
            <w:pPr>
              <w:pStyle w:val="2"/>
              <w:keepNext w:val="0"/>
              <w:keepLines w:val="0"/>
              <w:pageBreakBefore w:val="0"/>
              <w:kinsoku/>
              <w:overflowPunct/>
              <w:topLinePunct w:val="0"/>
              <w:bidi w:val="0"/>
              <w:spacing w:line="360" w:lineRule="auto"/>
              <w:jc w:val="both"/>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rPr>
              <w:t>1)操作系统：基于 Linux 的应用开发环境</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2)时钟：日历时钟误差：&lt;0.5s/D(23℃)</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3)显示方式：≥4.3 寸以上TFT彩屏</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4)电磁隔离保护：内建 3KV</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5)工作温度：-20~70℃</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6)工作湿度：5~90%RH</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7)环境温度：-30~80℃</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8)湿度：20～90%RH</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9)通讯距离：≤2400m</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10)支持房间：最大700</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11)通讯速度-TCP/IP：10M/100Mbps</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12)通讯接口：≥3 路带隔离 RS-485接口，≥1路CAN接口，≥1个10/100Mbps以太网口，≥2 个 USB2.0 接口</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13)功耗：≤5W</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14)存储购电记录：3000条以上</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15)断电后数值保存：≥10年</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16)输入电压：220V(100~240VAC) 50Hz±2Hz</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17)外壳材料：采用阻燃材料</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18)下行通信：支持≥3路485通信口</w:t>
            </w:r>
            <w:r>
              <w:rPr>
                <w:rFonts w:hint="eastAsia" w:ascii="宋体" w:hAnsi="宋体" w:cs="宋体"/>
                <w:color w:val="auto"/>
                <w:sz w:val="21"/>
                <w:szCs w:val="21"/>
                <w:vertAlign w:val="baseline"/>
                <w:lang w:eastAsia="zh-CN"/>
              </w:rPr>
              <w:t>；</w:t>
            </w:r>
          </w:p>
        </w:tc>
        <w:tc>
          <w:tcPr>
            <w:tcW w:w="750" w:type="dxa"/>
            <w:vAlign w:val="center"/>
          </w:tcPr>
          <w:p>
            <w:pPr>
              <w:pStyle w:val="2"/>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cs="宋体"/>
                <w:color w:val="auto"/>
                <w:sz w:val="21"/>
                <w:szCs w:val="21"/>
                <w:vertAlign w:val="baseline"/>
                <w:lang w:eastAsia="zh-CN"/>
              </w:rPr>
              <w:t>台</w:t>
            </w:r>
          </w:p>
        </w:tc>
        <w:tc>
          <w:tcPr>
            <w:tcW w:w="716" w:type="dxa"/>
            <w:vAlign w:val="center"/>
          </w:tcPr>
          <w:p>
            <w:pPr>
              <w:pStyle w:val="2"/>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pStyle w:val="2"/>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3</w:t>
            </w:r>
          </w:p>
        </w:tc>
        <w:tc>
          <w:tcPr>
            <w:tcW w:w="1812" w:type="dxa"/>
            <w:vAlign w:val="center"/>
          </w:tcPr>
          <w:p>
            <w:pPr>
              <w:pStyle w:val="2"/>
              <w:keepNext w:val="0"/>
              <w:keepLines w:val="0"/>
              <w:pageBreakBefore w:val="0"/>
              <w:kinsoku/>
              <w:overflowPunct/>
              <w:topLinePunct w:val="0"/>
              <w:bidi w:val="0"/>
              <w:spacing w:line="360" w:lineRule="auto"/>
              <w:jc w:val="both"/>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转发控制器</w:t>
            </w:r>
          </w:p>
        </w:tc>
        <w:tc>
          <w:tcPr>
            <w:tcW w:w="4638" w:type="dxa"/>
            <w:vAlign w:val="center"/>
          </w:tcPr>
          <w:p>
            <w:pPr>
              <w:pStyle w:val="2"/>
              <w:keepNext w:val="0"/>
              <w:keepLines w:val="0"/>
              <w:pageBreakBefore w:val="0"/>
              <w:kinsoku/>
              <w:overflowPunct/>
              <w:topLinePunct w:val="0"/>
              <w:bidi w:val="0"/>
              <w:spacing w:line="360" w:lineRule="auto"/>
              <w:jc w:val="both"/>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rPr>
              <w:t>1)供电电源：AC220V  50Hz</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2)使用环境 温度：-10～+50℃；湿度：20～90%RH</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3)通讯方式：上行：485；下行：电流环</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4)通信速率：最大9600bps</w:t>
            </w:r>
            <w:r>
              <w:rPr>
                <w:rFonts w:hint="eastAsia" w:ascii="宋体" w:hAnsi="宋体" w:cs="宋体"/>
                <w:color w:val="auto"/>
                <w:sz w:val="21"/>
                <w:szCs w:val="21"/>
                <w:vertAlign w:val="baseline"/>
                <w:lang w:eastAsia="zh-CN"/>
              </w:rPr>
              <w:t>；</w:t>
            </w:r>
          </w:p>
        </w:tc>
        <w:tc>
          <w:tcPr>
            <w:tcW w:w="750" w:type="dxa"/>
            <w:vAlign w:val="center"/>
          </w:tcPr>
          <w:p>
            <w:pPr>
              <w:pStyle w:val="2"/>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cs="宋体"/>
                <w:color w:val="auto"/>
                <w:sz w:val="21"/>
                <w:szCs w:val="21"/>
                <w:vertAlign w:val="baseline"/>
                <w:lang w:eastAsia="zh-CN"/>
              </w:rPr>
              <w:t>台</w:t>
            </w:r>
          </w:p>
        </w:tc>
        <w:tc>
          <w:tcPr>
            <w:tcW w:w="716" w:type="dxa"/>
            <w:vAlign w:val="center"/>
          </w:tcPr>
          <w:p>
            <w:pPr>
              <w:pStyle w:val="2"/>
              <w:keepNext w:val="0"/>
              <w:keepLines w:val="0"/>
              <w:pageBreakBefore w:val="0"/>
              <w:kinsoku/>
              <w:overflowPunct/>
              <w:topLinePunct w:val="0"/>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pStyle w:val="2"/>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4</w:t>
            </w:r>
          </w:p>
        </w:tc>
        <w:tc>
          <w:tcPr>
            <w:tcW w:w="1812" w:type="dxa"/>
            <w:vAlign w:val="center"/>
          </w:tcPr>
          <w:p>
            <w:pPr>
              <w:pStyle w:val="2"/>
              <w:keepNext w:val="0"/>
              <w:keepLines w:val="0"/>
              <w:pageBreakBefore w:val="0"/>
              <w:kinsoku/>
              <w:overflowPunct/>
              <w:topLinePunct w:val="0"/>
              <w:bidi w:val="0"/>
              <w:spacing w:line="360" w:lineRule="auto"/>
              <w:jc w:val="both"/>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 xml:space="preserve">单元计量控制模块  </w:t>
            </w:r>
          </w:p>
        </w:tc>
        <w:tc>
          <w:tcPr>
            <w:tcW w:w="4638" w:type="dxa"/>
            <w:vAlign w:val="center"/>
          </w:tcPr>
          <w:p>
            <w:pPr>
              <w:pStyle w:val="2"/>
              <w:keepNext w:val="0"/>
              <w:keepLines w:val="0"/>
              <w:pageBreakBefore w:val="0"/>
              <w:kinsoku/>
              <w:overflowPunct/>
              <w:topLinePunct w:val="0"/>
              <w:bidi w:val="0"/>
              <w:spacing w:line="360" w:lineRule="auto"/>
              <w:jc w:val="both"/>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rPr>
              <w:t>1)控制模式：各计量通道独立计量与控制</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2)适用电压范围：单相220V，符合GB/T 17215标准要求</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3)计量精确度：1.0级</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4)电表规格：5(40)A</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5)电流通道最大功耗：符合GB/T 17215标准要求</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6)通讯方式：电流环或RS485</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7)工作环境：符合GB/T 17215标准要求</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8)恶性负载分辨功率：≥100W（单用途回路）</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9)最大负荷限制：可编程设置</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10)内置温度采集传感器，具有过温保护功能（提供国家认可的具有检测资质的检测机构出具的检测报告复印件并加盖公章或软件截图进行佐证）</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11)潜动：防潜动</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12)定时时段：每天支持8个时间点，每周支持40个时段节假日设置：10个</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 xml:space="preserve">13)外壳材料：阻燃材料 </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14)安全保护功能：各计量通道可设定超载和恶载参数（提供国家认可具有检测资质的检测机构出具的检测报告复印件并加盖公章或软件截图进行佐证）</w:t>
            </w:r>
            <w:r>
              <w:rPr>
                <w:rFonts w:hint="eastAsia" w:ascii="宋体" w:hAnsi="宋体" w:cs="宋体"/>
                <w:color w:val="auto"/>
                <w:sz w:val="21"/>
                <w:szCs w:val="21"/>
                <w:vertAlign w:val="baseline"/>
                <w:lang w:eastAsia="zh-CN"/>
              </w:rPr>
              <w:t>；</w:t>
            </w:r>
          </w:p>
        </w:tc>
        <w:tc>
          <w:tcPr>
            <w:tcW w:w="750" w:type="dxa"/>
            <w:vAlign w:val="center"/>
          </w:tcPr>
          <w:p>
            <w:pPr>
              <w:pStyle w:val="2"/>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cs="宋体"/>
                <w:color w:val="auto"/>
                <w:sz w:val="21"/>
                <w:szCs w:val="21"/>
                <w:vertAlign w:val="baseline"/>
                <w:lang w:eastAsia="zh-CN"/>
              </w:rPr>
              <w:t>路</w:t>
            </w:r>
          </w:p>
        </w:tc>
        <w:tc>
          <w:tcPr>
            <w:tcW w:w="716" w:type="dxa"/>
            <w:vAlign w:val="center"/>
          </w:tcPr>
          <w:p>
            <w:pPr>
              <w:pStyle w:val="2"/>
              <w:keepNext w:val="0"/>
              <w:keepLines w:val="0"/>
              <w:pageBreakBefore w:val="0"/>
              <w:kinsoku/>
              <w:overflowPunct/>
              <w:topLinePunct w:val="0"/>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pStyle w:val="2"/>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5</w:t>
            </w:r>
          </w:p>
        </w:tc>
        <w:tc>
          <w:tcPr>
            <w:tcW w:w="1812" w:type="dxa"/>
            <w:vAlign w:val="center"/>
          </w:tcPr>
          <w:p>
            <w:pPr>
              <w:pStyle w:val="2"/>
              <w:keepNext w:val="0"/>
              <w:keepLines w:val="0"/>
              <w:pageBreakBefore w:val="0"/>
              <w:kinsoku/>
              <w:overflowPunct/>
              <w:topLinePunct w:val="0"/>
              <w:bidi w:val="0"/>
              <w:spacing w:line="360" w:lineRule="auto"/>
              <w:jc w:val="both"/>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自助购水购电机</w:t>
            </w:r>
          </w:p>
        </w:tc>
        <w:tc>
          <w:tcPr>
            <w:tcW w:w="4638" w:type="dxa"/>
            <w:vAlign w:val="center"/>
          </w:tcPr>
          <w:p>
            <w:pPr>
              <w:pStyle w:val="2"/>
              <w:keepNext w:val="0"/>
              <w:keepLines w:val="0"/>
              <w:pageBreakBefore w:val="0"/>
              <w:kinsoku/>
              <w:overflowPunct/>
              <w:topLinePunct w:val="0"/>
              <w:bidi w:val="0"/>
              <w:spacing w:line="360" w:lineRule="auto"/>
              <w:jc w:val="both"/>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rPr>
              <w:t>1)显示:128*64点阵汉显</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2)键盘:不低于16键，矩阵式键盘</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3)功耗:&lt;5W</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4)读卡距离:1-5cm</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5)支持卡类型:符合ISO14443 Type A标准的13.56M M1卡,CPU卡</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6)记录容量:不低于8000笔</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7)水电共用购水购电设备</w:t>
            </w:r>
            <w:r>
              <w:rPr>
                <w:rFonts w:hint="eastAsia" w:ascii="宋体" w:hAnsi="宋体" w:cs="宋体"/>
                <w:color w:val="auto"/>
                <w:sz w:val="21"/>
                <w:szCs w:val="21"/>
                <w:vertAlign w:val="baseline"/>
                <w:lang w:eastAsia="zh-CN"/>
              </w:rPr>
              <w:t>；</w:t>
            </w:r>
          </w:p>
          <w:p>
            <w:pPr>
              <w:pStyle w:val="2"/>
              <w:keepNext w:val="0"/>
              <w:keepLines w:val="0"/>
              <w:pageBreakBefore w:val="0"/>
              <w:kinsoku/>
              <w:overflowPunct/>
              <w:topLinePunct w:val="0"/>
              <w:bidi w:val="0"/>
              <w:spacing w:line="360" w:lineRule="auto"/>
              <w:jc w:val="both"/>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8) 学校现有校园卡可在此设备上刷卡购水购电，消费记录上传至校园一卡通平台进行统一管理，统一结算。投标人必须对此做出书面承诺并加盖公章，否则视为投标无效。</w:t>
            </w:r>
          </w:p>
        </w:tc>
        <w:tc>
          <w:tcPr>
            <w:tcW w:w="750" w:type="dxa"/>
            <w:vAlign w:val="center"/>
          </w:tcPr>
          <w:p>
            <w:pPr>
              <w:pStyle w:val="2"/>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cs="宋体"/>
                <w:color w:val="auto"/>
                <w:sz w:val="21"/>
                <w:szCs w:val="21"/>
                <w:vertAlign w:val="baseline"/>
                <w:lang w:eastAsia="zh-CN"/>
              </w:rPr>
              <w:t>台</w:t>
            </w:r>
          </w:p>
        </w:tc>
        <w:tc>
          <w:tcPr>
            <w:tcW w:w="716" w:type="dxa"/>
            <w:vAlign w:val="center"/>
          </w:tcPr>
          <w:p>
            <w:pPr>
              <w:pStyle w:val="2"/>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pStyle w:val="2"/>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6</w:t>
            </w:r>
          </w:p>
        </w:tc>
        <w:tc>
          <w:tcPr>
            <w:tcW w:w="1812" w:type="dxa"/>
            <w:vAlign w:val="center"/>
          </w:tcPr>
          <w:p>
            <w:pPr>
              <w:pStyle w:val="2"/>
              <w:keepNext w:val="0"/>
              <w:keepLines w:val="0"/>
              <w:pageBreakBefore w:val="0"/>
              <w:kinsoku/>
              <w:overflowPunct/>
              <w:topLinePunct w:val="0"/>
              <w:bidi w:val="0"/>
              <w:spacing w:line="360" w:lineRule="auto"/>
              <w:jc w:val="both"/>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智能远传预付费冷水表</w:t>
            </w:r>
          </w:p>
        </w:tc>
        <w:tc>
          <w:tcPr>
            <w:tcW w:w="4638" w:type="dxa"/>
            <w:vAlign w:val="center"/>
          </w:tcPr>
          <w:p>
            <w:pPr>
              <w:pStyle w:val="2"/>
              <w:keepNext w:val="0"/>
              <w:keepLines w:val="0"/>
              <w:pageBreakBefore w:val="0"/>
              <w:numPr>
                <w:ilvl w:val="0"/>
                <w:numId w:val="5"/>
              </w:numPr>
              <w:kinsoku/>
              <w:overflowPunct/>
              <w:topLinePunct w:val="0"/>
              <w:bidi w:val="0"/>
              <w:spacing w:line="360" w:lineRule="auto"/>
              <w:jc w:val="both"/>
              <w:textAlignment w:val="auto"/>
              <w:rPr>
                <w:rFonts w:hint="eastAsia" w:ascii="宋体" w:hAnsi="宋体" w:cs="宋体"/>
                <w:color w:val="auto"/>
                <w:sz w:val="21"/>
                <w:szCs w:val="21"/>
                <w:vertAlign w:val="baseline"/>
                <w:lang w:eastAsia="zh-CN"/>
              </w:rPr>
            </w:pPr>
            <w:r>
              <w:rPr>
                <w:rFonts w:hint="eastAsia" w:ascii="宋体" w:hAnsi="宋体" w:eastAsia="宋体" w:cs="宋体"/>
                <w:color w:val="auto"/>
                <w:sz w:val="21"/>
                <w:szCs w:val="21"/>
                <w:vertAlign w:val="baseline"/>
              </w:rPr>
              <w:t>环境等级：B级</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2)准确性等级：2级</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 xml:space="preserve">3)内部电池：3.6V/3200mAh Li </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4)静态工作电流：≤20μA</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5)电池使用寿命：≥6年</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6)工作压力：≤1MPa</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7)压损：≤0.063MPa</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8)标称口径：DN15\DN20</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9)液晶显示最小读数：0.1m3</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10)量程比：80</w:t>
            </w:r>
            <w:r>
              <w:rPr>
                <w:rFonts w:hint="eastAsia" w:ascii="宋体" w:hAnsi="宋体" w:cs="宋体"/>
                <w:color w:val="auto"/>
                <w:sz w:val="21"/>
                <w:szCs w:val="21"/>
                <w:vertAlign w:val="baseline"/>
                <w:lang w:eastAsia="zh-CN"/>
              </w:rPr>
              <w:t>；</w:t>
            </w:r>
          </w:p>
          <w:p>
            <w:pPr>
              <w:pStyle w:val="2"/>
              <w:keepNext w:val="0"/>
              <w:keepLines w:val="0"/>
              <w:pageBreakBefore w:val="0"/>
              <w:numPr>
                <w:ilvl w:val="0"/>
                <w:numId w:val="0"/>
              </w:numPr>
              <w:kinsoku/>
              <w:overflowPunct/>
              <w:topLinePunct w:val="0"/>
              <w:bidi w:val="0"/>
              <w:spacing w:line="360" w:lineRule="auto"/>
              <w:jc w:val="both"/>
              <w:textAlignment w:val="auto"/>
              <w:rPr>
                <w:rFonts w:hint="eastAsia" w:ascii="宋体" w:hAnsi="宋体" w:cs="宋体"/>
                <w:color w:val="auto"/>
                <w:sz w:val="21"/>
                <w:szCs w:val="21"/>
                <w:vertAlign w:val="baseline"/>
                <w:lang w:eastAsia="zh-CN"/>
              </w:rPr>
            </w:pPr>
            <w:r>
              <w:rPr>
                <w:rFonts w:hint="eastAsia" w:ascii="宋体" w:hAnsi="宋体" w:cs="宋体"/>
                <w:color w:val="auto"/>
                <w:sz w:val="21"/>
                <w:szCs w:val="21"/>
                <w:vertAlign w:val="baseline"/>
                <w:lang w:eastAsia="zh-CN"/>
              </w:rPr>
              <w:t>11)液晶显示最大读数：9999999.9m3；</w:t>
            </w:r>
            <w:r>
              <w:rPr>
                <w:rFonts w:hint="eastAsia" w:ascii="宋体" w:hAnsi="宋体" w:cs="宋体"/>
                <w:color w:val="auto"/>
                <w:sz w:val="21"/>
                <w:szCs w:val="21"/>
                <w:vertAlign w:val="baseline"/>
                <w:lang w:eastAsia="zh-CN"/>
              </w:rPr>
              <w:br w:type="textWrapping"/>
            </w:r>
            <w:r>
              <w:rPr>
                <w:rFonts w:hint="eastAsia" w:ascii="宋体" w:hAnsi="宋体" w:cs="宋体"/>
                <w:color w:val="auto"/>
                <w:sz w:val="21"/>
                <w:szCs w:val="21"/>
                <w:vertAlign w:val="baseline"/>
                <w:lang w:eastAsia="zh-CN"/>
              </w:rPr>
              <w:t>12)口径：DN20；</w:t>
            </w:r>
            <w:r>
              <w:rPr>
                <w:rFonts w:hint="eastAsia" w:ascii="宋体" w:hAnsi="宋体" w:cs="宋体"/>
                <w:color w:val="auto"/>
                <w:sz w:val="21"/>
                <w:szCs w:val="21"/>
                <w:vertAlign w:val="baseline"/>
                <w:lang w:eastAsia="zh-CN"/>
              </w:rPr>
              <w:br w:type="textWrapping"/>
            </w:r>
            <w:r>
              <w:rPr>
                <w:rFonts w:hint="eastAsia" w:ascii="宋体" w:hAnsi="宋体" w:cs="宋体"/>
                <w:color w:val="auto"/>
                <w:sz w:val="21"/>
                <w:szCs w:val="21"/>
                <w:vertAlign w:val="baseline"/>
                <w:lang w:eastAsia="zh-CN"/>
              </w:rPr>
              <w:t>13)最高允许水温：冷水表：30 ºC；</w:t>
            </w:r>
            <w:r>
              <w:rPr>
                <w:rFonts w:hint="eastAsia" w:ascii="宋体" w:hAnsi="宋体" w:cs="宋体"/>
                <w:color w:val="auto"/>
                <w:sz w:val="21"/>
                <w:szCs w:val="21"/>
                <w:vertAlign w:val="baseline"/>
                <w:lang w:eastAsia="zh-CN"/>
              </w:rPr>
              <w:br w:type="textWrapping"/>
            </w:r>
            <w:r>
              <w:rPr>
                <w:rFonts w:hint="eastAsia" w:ascii="宋体" w:hAnsi="宋体" w:cs="宋体"/>
                <w:color w:val="auto"/>
                <w:sz w:val="21"/>
                <w:szCs w:val="21"/>
                <w:vertAlign w:val="baseline"/>
                <w:lang w:eastAsia="zh-CN"/>
              </w:rPr>
              <w:t>14)环境湿度：(0～100)%RH。</w:t>
            </w:r>
          </w:p>
        </w:tc>
        <w:tc>
          <w:tcPr>
            <w:tcW w:w="750" w:type="dxa"/>
            <w:vAlign w:val="center"/>
          </w:tcPr>
          <w:p>
            <w:pPr>
              <w:pStyle w:val="2"/>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cs="宋体"/>
                <w:color w:val="auto"/>
                <w:sz w:val="21"/>
                <w:szCs w:val="21"/>
                <w:vertAlign w:val="baseline"/>
                <w:lang w:eastAsia="zh-CN"/>
              </w:rPr>
              <w:t>台</w:t>
            </w:r>
          </w:p>
        </w:tc>
        <w:tc>
          <w:tcPr>
            <w:tcW w:w="716" w:type="dxa"/>
            <w:vAlign w:val="center"/>
          </w:tcPr>
          <w:p>
            <w:pPr>
              <w:pStyle w:val="2"/>
              <w:keepNext w:val="0"/>
              <w:keepLines w:val="0"/>
              <w:pageBreakBefore w:val="0"/>
              <w:kinsoku/>
              <w:overflowPunct/>
              <w:topLinePunct w:val="0"/>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pStyle w:val="2"/>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7</w:t>
            </w:r>
          </w:p>
        </w:tc>
        <w:tc>
          <w:tcPr>
            <w:tcW w:w="1812" w:type="dxa"/>
            <w:vAlign w:val="center"/>
          </w:tcPr>
          <w:p>
            <w:pPr>
              <w:pStyle w:val="2"/>
              <w:keepNext w:val="0"/>
              <w:keepLines w:val="0"/>
              <w:pageBreakBefore w:val="0"/>
              <w:kinsoku/>
              <w:overflowPunct/>
              <w:topLinePunct w:val="0"/>
              <w:bidi w:val="0"/>
              <w:spacing w:line="360" w:lineRule="auto"/>
              <w:jc w:val="both"/>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抄送器</w:t>
            </w:r>
          </w:p>
        </w:tc>
        <w:tc>
          <w:tcPr>
            <w:tcW w:w="4638" w:type="dxa"/>
            <w:vAlign w:val="center"/>
          </w:tcPr>
          <w:p>
            <w:pPr>
              <w:pStyle w:val="2"/>
              <w:keepNext w:val="0"/>
              <w:keepLines w:val="0"/>
              <w:pageBreakBefore w:val="0"/>
              <w:kinsoku/>
              <w:overflowPunct/>
              <w:topLinePunct w:val="0"/>
              <w:bidi w:val="0"/>
              <w:spacing w:line="360" w:lineRule="auto"/>
              <w:jc w:val="both"/>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rPr>
              <w:t>1)上行连接：RS232 或RS485可选</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2)下行连接：M-BUS；波特率:  2400bps</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3)每通道带载数：32</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4)总线负载电流≤200mA，过载保护功能，故障解除自动恢复</w:t>
            </w:r>
            <w:r>
              <w:rPr>
                <w:rFonts w:hint="eastAsia" w:ascii="宋体" w:hAnsi="宋体" w:cs="宋体"/>
                <w:color w:val="auto"/>
                <w:sz w:val="21"/>
                <w:szCs w:val="21"/>
                <w:vertAlign w:val="baseline"/>
                <w:lang w:eastAsia="zh-CN"/>
              </w:rPr>
              <w:t>；</w:t>
            </w:r>
            <w:r>
              <w:rPr>
                <w:rFonts w:hint="eastAsia" w:ascii="宋体" w:hAnsi="宋体" w:eastAsia="宋体" w:cs="宋体"/>
                <w:color w:val="auto"/>
                <w:sz w:val="21"/>
                <w:szCs w:val="21"/>
                <w:vertAlign w:val="baseline"/>
              </w:rPr>
              <w:br w:type="textWrapping"/>
            </w:r>
            <w:r>
              <w:rPr>
                <w:rFonts w:hint="eastAsia" w:ascii="宋体" w:hAnsi="宋体" w:eastAsia="宋体" w:cs="宋体"/>
                <w:color w:val="auto"/>
                <w:sz w:val="21"/>
                <w:szCs w:val="21"/>
                <w:vertAlign w:val="baseline"/>
              </w:rPr>
              <w:t>5)工作环境-20~70℃；5~95%无凝露</w:t>
            </w:r>
            <w:r>
              <w:rPr>
                <w:rFonts w:hint="eastAsia" w:ascii="宋体" w:hAnsi="宋体" w:cs="宋体"/>
                <w:color w:val="auto"/>
                <w:sz w:val="21"/>
                <w:szCs w:val="21"/>
                <w:vertAlign w:val="baseline"/>
                <w:lang w:eastAsia="zh-CN"/>
              </w:rPr>
              <w:t>。</w:t>
            </w:r>
          </w:p>
        </w:tc>
        <w:tc>
          <w:tcPr>
            <w:tcW w:w="750" w:type="dxa"/>
            <w:vAlign w:val="center"/>
          </w:tcPr>
          <w:p>
            <w:pPr>
              <w:pStyle w:val="2"/>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cs="宋体"/>
                <w:color w:val="auto"/>
                <w:sz w:val="21"/>
                <w:szCs w:val="21"/>
                <w:vertAlign w:val="baseline"/>
                <w:lang w:eastAsia="zh-CN"/>
              </w:rPr>
              <w:t>台</w:t>
            </w:r>
          </w:p>
        </w:tc>
        <w:tc>
          <w:tcPr>
            <w:tcW w:w="716" w:type="dxa"/>
            <w:vAlign w:val="center"/>
          </w:tcPr>
          <w:p>
            <w:pPr>
              <w:pStyle w:val="2"/>
              <w:keepNext w:val="0"/>
              <w:keepLines w:val="0"/>
              <w:pageBreakBefore w:val="0"/>
              <w:kinsoku/>
              <w:overflowPunct/>
              <w:topLinePunct w:val="0"/>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pStyle w:val="2"/>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8</w:t>
            </w:r>
          </w:p>
        </w:tc>
        <w:tc>
          <w:tcPr>
            <w:tcW w:w="1812" w:type="dxa"/>
            <w:vAlign w:val="center"/>
          </w:tcPr>
          <w:p>
            <w:pPr>
              <w:pStyle w:val="2"/>
              <w:keepNext w:val="0"/>
              <w:keepLines w:val="0"/>
              <w:pageBreakBefore w:val="0"/>
              <w:kinsoku/>
              <w:overflowPunct/>
              <w:topLinePunct w:val="0"/>
              <w:bidi w:val="0"/>
              <w:spacing w:line="360" w:lineRule="auto"/>
              <w:jc w:val="both"/>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线材</w:t>
            </w:r>
          </w:p>
        </w:tc>
        <w:tc>
          <w:tcPr>
            <w:tcW w:w="4638" w:type="dxa"/>
            <w:vAlign w:val="center"/>
          </w:tcPr>
          <w:p>
            <w:pPr>
              <w:pStyle w:val="2"/>
              <w:keepNext w:val="0"/>
              <w:keepLines w:val="0"/>
              <w:pageBreakBefore w:val="0"/>
              <w:kinsoku/>
              <w:overflowPunct/>
              <w:topLinePunct w:val="0"/>
              <w:bidi w:val="0"/>
              <w:spacing w:line="360" w:lineRule="auto"/>
              <w:jc w:val="both"/>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国标, RVV2*1.0/RVVP2*1.0</w:t>
            </w:r>
          </w:p>
        </w:tc>
        <w:tc>
          <w:tcPr>
            <w:tcW w:w="750" w:type="dxa"/>
            <w:vAlign w:val="center"/>
          </w:tcPr>
          <w:p>
            <w:pPr>
              <w:pStyle w:val="2"/>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cs="宋体"/>
                <w:color w:val="auto"/>
                <w:sz w:val="21"/>
                <w:szCs w:val="21"/>
                <w:vertAlign w:val="baseline"/>
                <w:lang w:eastAsia="zh-CN"/>
              </w:rPr>
              <w:t>米</w:t>
            </w:r>
          </w:p>
        </w:tc>
        <w:tc>
          <w:tcPr>
            <w:tcW w:w="716" w:type="dxa"/>
            <w:vAlign w:val="center"/>
          </w:tcPr>
          <w:p>
            <w:pPr>
              <w:pStyle w:val="2"/>
              <w:keepNext w:val="0"/>
              <w:keepLines w:val="0"/>
              <w:pageBreakBefore w:val="0"/>
              <w:kinsoku/>
              <w:overflowPunct/>
              <w:topLinePunct w:val="0"/>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5500</w:t>
            </w:r>
          </w:p>
        </w:tc>
      </w:tr>
    </w:tbl>
    <w:p>
      <w:pPr>
        <w:pStyle w:val="2"/>
        <w:keepNext w:val="0"/>
        <w:keepLines w:val="0"/>
        <w:pageBreakBefore w:val="0"/>
        <w:kinsoku/>
        <w:overflowPunct/>
        <w:topLinePunct w:val="0"/>
        <w:bidi w:val="0"/>
        <w:spacing w:line="360" w:lineRule="auto"/>
        <w:textAlignment w:val="auto"/>
        <w:rPr>
          <w:color w:val="auto"/>
        </w:rPr>
      </w:pPr>
    </w:p>
    <w:p>
      <w:pPr>
        <w:pStyle w:val="2"/>
        <w:keepNext w:val="0"/>
        <w:keepLines w:val="0"/>
        <w:pageBreakBefore w:val="0"/>
        <w:kinsoku/>
        <w:overflowPunct/>
        <w:topLinePunct w:val="0"/>
        <w:bidi w:val="0"/>
        <w:spacing w:line="360" w:lineRule="auto"/>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注：</w:t>
      </w:r>
      <w:r>
        <w:rPr>
          <w:rFonts w:hint="eastAsia" w:ascii="宋体" w:hAnsi="宋体" w:cs="宋体"/>
          <w:b/>
          <w:bCs/>
          <w:color w:val="auto"/>
          <w:sz w:val="21"/>
          <w:szCs w:val="21"/>
          <w:lang w:val="en-US" w:eastAsia="zh-CN"/>
        </w:rPr>
        <w:t>中标人</w:t>
      </w:r>
      <w:r>
        <w:rPr>
          <w:rFonts w:hint="eastAsia" w:ascii="宋体" w:hAnsi="宋体" w:eastAsia="宋体" w:cs="宋体"/>
          <w:b/>
          <w:bCs/>
          <w:color w:val="auto"/>
          <w:sz w:val="21"/>
          <w:szCs w:val="21"/>
          <w:lang w:val="en-US" w:eastAsia="zh-CN"/>
        </w:rPr>
        <w:t>需提供工程实施方案、网络拓扑图，确定设备安装位置，以上均需征得使用方同意。</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
          <w:bCs/>
          <w:color w:val="auto"/>
          <w:sz w:val="24"/>
          <w:szCs w:val="24"/>
          <w:lang w:val="en-US" w:eastAsia="zh-CN"/>
        </w:rPr>
      </w:pPr>
      <w:r>
        <w:rPr>
          <w:rFonts w:hint="eastAsia" w:ascii="宋体" w:hAnsi="宋体" w:cs="宋体"/>
          <w:b w:val="0"/>
          <w:bCs w:val="0"/>
          <w:color w:val="auto"/>
          <w:sz w:val="24"/>
          <w:szCs w:val="24"/>
          <w:lang w:val="en-US" w:eastAsia="zh-CN"/>
        </w:rPr>
        <w:t>（二）服务要求</w:t>
      </w:r>
    </w:p>
    <w:p>
      <w:pPr>
        <w:pStyle w:val="2"/>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cs="宋体"/>
          <w:b w:val="0"/>
          <w:bCs w:val="0"/>
          <w:color w:val="auto"/>
          <w:sz w:val="24"/>
          <w:szCs w:val="24"/>
          <w:lang w:val="en-US" w:eastAsia="zh-CN"/>
        </w:rPr>
      </w:pPr>
      <w:r>
        <w:rPr>
          <w:rFonts w:hint="default" w:ascii="宋体" w:hAnsi="宋体" w:cs="宋体"/>
          <w:b w:val="0"/>
          <w:bCs w:val="0"/>
          <w:color w:val="auto"/>
          <w:sz w:val="24"/>
          <w:szCs w:val="24"/>
          <w:lang w:val="en-US" w:eastAsia="zh-CN"/>
        </w:rPr>
        <w:t>本次采购货物的免费保修期为货物验收合格之日起不少于36个月（国家或厂家对设备或配件另有约定更长免费保修期限的从其约定），软件免费升级，在免费保修期内如出现故障，中标供应商应免费提供咨询、维修服务，包括免费更换零部件。</w:t>
      </w:r>
    </w:p>
    <w:p>
      <w:pPr>
        <w:pStyle w:val="2"/>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宋体" w:hAnsi="宋体" w:cs="宋体"/>
          <w:b w:val="0"/>
          <w:bCs w:val="0"/>
          <w:color w:val="auto"/>
          <w:sz w:val="24"/>
          <w:szCs w:val="24"/>
          <w:lang w:val="en-US" w:eastAsia="zh-CN"/>
        </w:rPr>
      </w:pPr>
      <w:r>
        <w:rPr>
          <w:rFonts w:hint="default" w:ascii="宋体" w:hAnsi="宋体" w:cs="宋体"/>
          <w:b w:val="0"/>
          <w:bCs w:val="0"/>
          <w:color w:val="auto"/>
          <w:sz w:val="24"/>
          <w:szCs w:val="24"/>
          <w:lang w:val="en-US" w:eastAsia="zh-CN"/>
        </w:rPr>
        <w:t>免费保修期内货物一旦出现故障，中标供应商响应时间不超过4小时，检修人员应在12小时内到设备安装地点及时排除故障，24小时内解决问题并恢复正常使用。如故障无法排除，中标供应商应负责使用替代设备，其费用由中标供应商承担。保修期过后对设备故障需要更换的配件将以成本价提供。</w:t>
      </w:r>
    </w:p>
    <w:p>
      <w:pPr>
        <w:pStyle w:val="2"/>
        <w:keepNext w:val="0"/>
        <w:keepLines w:val="0"/>
        <w:pageBreakBefore w:val="0"/>
        <w:kinsoku/>
        <w:overflowPunct/>
        <w:topLinePunct w:val="0"/>
        <w:bidi w:val="0"/>
        <w:spacing w:line="360" w:lineRule="auto"/>
        <w:ind w:firstLine="422" w:firstLineChars="200"/>
        <w:textAlignment w:val="auto"/>
        <w:rPr>
          <w:rFonts w:hint="default" w:ascii="宋体" w:hAnsi="宋体" w:cs="宋体"/>
          <w:b/>
          <w:bCs/>
          <w:color w:val="auto"/>
          <w:sz w:val="21"/>
          <w:szCs w:val="21"/>
          <w:lang w:val="en-US" w:eastAsia="zh-CN"/>
        </w:rPr>
      </w:pPr>
    </w:p>
    <w:p>
      <w:pPr>
        <w:pStyle w:val="2"/>
        <w:keepNext w:val="0"/>
        <w:keepLines w:val="0"/>
        <w:pageBreakBefore w:val="0"/>
        <w:kinsoku/>
        <w:overflowPunct/>
        <w:topLinePunct w:val="0"/>
        <w:bidi w:val="0"/>
        <w:spacing w:line="360" w:lineRule="auto"/>
        <w:ind w:firstLine="422" w:firstLineChars="200"/>
        <w:textAlignment w:val="auto"/>
        <w:rPr>
          <w:rFonts w:hint="default" w:ascii="宋体" w:hAnsi="宋体" w:cs="宋体"/>
          <w:b/>
          <w:bCs/>
          <w:color w:val="auto"/>
          <w:sz w:val="21"/>
          <w:szCs w:val="21"/>
          <w:lang w:val="en-US" w:eastAsia="zh-CN"/>
        </w:rPr>
      </w:pPr>
    </w:p>
    <w:p>
      <w:pPr>
        <w:keepNext w:val="0"/>
        <w:keepLines w:val="0"/>
        <w:pageBreakBefore w:val="0"/>
        <w:widowControl/>
        <w:numPr>
          <w:ilvl w:val="0"/>
          <w:numId w:val="0"/>
        </w:numPr>
        <w:kinsoku/>
        <w:overflowPunct/>
        <w:topLinePunct w:val="0"/>
        <w:bidi w:val="0"/>
        <w:spacing w:before="75" w:after="75" w:line="360" w:lineRule="auto"/>
        <w:jc w:val="left"/>
        <w:textAlignment w:val="auto"/>
        <w:outlineLvl w:val="1"/>
        <w:rPr>
          <w:rFonts w:ascii="宋体" w:hAnsi="宋体" w:eastAsia="宋体" w:cs="宋体"/>
          <w:b/>
          <w:bCs/>
          <w:color w:val="auto"/>
          <w:kern w:val="0"/>
          <w:sz w:val="24"/>
          <w:szCs w:val="24"/>
        </w:rPr>
      </w:pPr>
      <w:r>
        <w:rPr>
          <w:rFonts w:hint="eastAsia" w:ascii="宋体" w:hAnsi="宋体" w:eastAsia="宋体" w:cs="宋体"/>
          <w:b/>
          <w:bCs/>
          <w:color w:val="auto"/>
          <w:kern w:val="0"/>
          <w:sz w:val="24"/>
          <w:szCs w:val="24"/>
          <w:lang w:eastAsia="zh-CN"/>
        </w:rPr>
        <w:t>三、</w:t>
      </w:r>
      <w:r>
        <w:rPr>
          <w:rFonts w:hint="eastAsia" w:ascii="宋体" w:hAnsi="宋体" w:eastAsia="宋体" w:cs="宋体"/>
          <w:b/>
          <w:bCs/>
          <w:color w:val="auto"/>
          <w:kern w:val="0"/>
          <w:sz w:val="24"/>
          <w:szCs w:val="24"/>
        </w:rPr>
        <w:t>商务条件</w:t>
      </w:r>
    </w:p>
    <w:p>
      <w:pPr>
        <w:keepNext w:val="0"/>
        <w:keepLines w:val="0"/>
        <w:pageBreakBefore w:val="0"/>
        <w:widowControl/>
        <w:kinsoku/>
        <w:overflowPunct/>
        <w:topLinePunct w:val="0"/>
        <w:bidi w:val="0"/>
        <w:spacing w:before="75" w:after="75" w:line="360" w:lineRule="auto"/>
        <w:ind w:left="479" w:leftChars="228"/>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1、交付地点：福建省泉州市丰泽区东海大街398号泉州师范学院。</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2、交付时间：合同签订</w:t>
      </w:r>
      <w:r>
        <w:rPr>
          <w:rFonts w:hint="eastAsia" w:ascii="宋体" w:hAnsi="宋体" w:eastAsia="宋体" w:cs="宋体"/>
          <w:color w:val="auto"/>
          <w:sz w:val="24"/>
          <w:szCs w:val="24"/>
        </w:rPr>
        <w:t>后</w:t>
      </w:r>
      <w:r>
        <w:rPr>
          <w:rFonts w:hint="eastAsia" w:ascii="宋体" w:hAnsi="宋体" w:eastAsia="宋体" w:cs="宋体"/>
          <w:color w:val="auto"/>
          <w:sz w:val="24"/>
          <w:szCs w:val="24"/>
          <w:lang w:val="en-US" w:eastAsia="zh-CN"/>
        </w:rPr>
        <w:t>（60）天</w:t>
      </w:r>
      <w:r>
        <w:rPr>
          <w:rFonts w:hint="eastAsia" w:ascii="宋体" w:hAnsi="宋体" w:eastAsia="宋体" w:cs="宋体"/>
          <w:color w:val="auto"/>
          <w:sz w:val="24"/>
          <w:szCs w:val="24"/>
        </w:rPr>
        <w:t>内</w:t>
      </w:r>
      <w:r>
        <w:rPr>
          <w:rFonts w:hint="eastAsia" w:ascii="宋体" w:hAnsi="宋体" w:eastAsia="宋体" w:cs="宋体"/>
          <w:color w:val="auto"/>
          <w:sz w:val="24"/>
          <w:szCs w:val="24"/>
          <w:lang w:eastAsia="zh-CN"/>
        </w:rPr>
        <w:t>交货</w:t>
      </w:r>
      <w:r>
        <w:rPr>
          <w:rFonts w:hint="eastAsia" w:ascii="宋体" w:hAnsi="宋体" w:eastAsia="宋体" w:cs="宋体"/>
          <w:color w:val="auto"/>
          <w:sz w:val="24"/>
          <w:szCs w:val="24"/>
        </w:rPr>
        <w:t>。</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3、交付条件：整套软件、设备各组成部分必须是完整的、全新的、功能齐全的；并且符合国家质量检测标准的，符合招标文件中的规格型号及配置要求的货物(包括零部件)。</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4、是否收取履约保证金： 是。履约保证金百分比：</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%。说明：（1）中标供应商在与采购人签订合同前，应向采购人提交按</w:t>
      </w:r>
      <w:r>
        <w:rPr>
          <w:rFonts w:hint="eastAsia" w:ascii="宋体" w:hAnsi="宋体" w:eastAsia="宋体" w:cs="宋体"/>
          <w:color w:val="auto"/>
          <w:kern w:val="0"/>
          <w:sz w:val="24"/>
          <w:szCs w:val="24"/>
          <w:lang w:eastAsia="zh-CN"/>
        </w:rPr>
        <w:t>合同价</w:t>
      </w:r>
      <w:r>
        <w:rPr>
          <w:rFonts w:hint="eastAsia" w:ascii="宋体" w:hAnsi="宋体" w:eastAsia="宋体" w:cs="宋体"/>
          <w:color w:val="auto"/>
          <w:kern w:val="0"/>
          <w:sz w:val="24"/>
          <w:szCs w:val="24"/>
        </w:rPr>
        <w:t>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%计算的履约保证金。（2）该履约保证金在正式验收合格后，转为质保金，质保金于设备保修期满（以中标人具体承诺期限为准）后且无质量及售后服务问题时一个月内一次性无息退还。</w:t>
      </w:r>
    </w:p>
    <w:p>
      <w:pPr>
        <w:keepNext w:val="0"/>
        <w:keepLines w:val="0"/>
        <w:pageBreakBefore w:val="0"/>
        <w:widowControl/>
        <w:kinsoku/>
        <w:overflowPunct/>
        <w:topLinePunct w:val="0"/>
        <w:bidi w:val="0"/>
        <w:spacing w:before="75" w:after="75" w:line="360" w:lineRule="auto"/>
        <w:ind w:left="479" w:leftChars="228"/>
        <w:jc w:val="left"/>
        <w:textAlignment w:val="auto"/>
        <w:rPr>
          <w:rFonts w:ascii="宋体" w:hAnsi="宋体" w:eastAsia="宋体" w:cs="宋体"/>
          <w:color w:val="auto"/>
          <w:kern w:val="0"/>
          <w:sz w:val="24"/>
          <w:szCs w:val="24"/>
        </w:rPr>
      </w:pPr>
      <w:r>
        <w:rPr>
          <w:rFonts w:hint="eastAsia" w:ascii="宋体" w:hAnsi="宋体" w:eastAsia="宋体" w:cs="宋体"/>
          <w:color w:val="auto"/>
          <w:sz w:val="24"/>
          <w:szCs w:val="24"/>
        </w:rPr>
        <w:t>5、是否邀请投标人参与验收：否</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6、</w:t>
      </w:r>
      <w:r>
        <w:rPr>
          <w:rFonts w:hint="eastAsia" w:ascii="宋体" w:hAnsi="宋体" w:eastAsia="宋体" w:cs="宋体"/>
          <w:color w:val="auto"/>
          <w:kern w:val="0"/>
          <w:sz w:val="24"/>
          <w:szCs w:val="24"/>
        </w:rPr>
        <w:t xml:space="preserve">验收方式数据表格 </w:t>
      </w:r>
    </w:p>
    <w:tbl>
      <w:tblPr>
        <w:tblStyle w:val="10"/>
        <w:tblpPr w:leftFromText="180" w:rightFromText="180" w:vertAnchor="text" w:horzAnchor="page" w:tblpX="2149" w:tblpY="400"/>
        <w:tblOverlap w:val="never"/>
        <w:tblW w:w="7971"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2"/>
        <w:gridCol w:w="6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blHeader/>
          <w:tblCellSpacing w:w="0" w:type="dxa"/>
        </w:trPr>
        <w:tc>
          <w:tcPr>
            <w:tcW w:w="1302" w:type="dxa"/>
            <w:vAlign w:val="center"/>
          </w:tcPr>
          <w:p>
            <w:pPr>
              <w:keepNext w:val="0"/>
              <w:keepLines w:val="0"/>
              <w:pageBreakBefore w:val="0"/>
              <w:widowControl/>
              <w:kinsoku/>
              <w:overflowPunct/>
              <w:topLinePunct w:val="0"/>
              <w:bidi w:val="0"/>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验收期次</w:t>
            </w:r>
          </w:p>
        </w:tc>
        <w:tc>
          <w:tcPr>
            <w:tcW w:w="6669" w:type="dxa"/>
            <w:vAlign w:val="center"/>
          </w:tcPr>
          <w:p>
            <w:pPr>
              <w:keepNext w:val="0"/>
              <w:keepLines w:val="0"/>
              <w:pageBreakBefore w:val="0"/>
              <w:widowControl/>
              <w:kinsoku/>
              <w:overflowPunct/>
              <w:topLinePunct w:val="0"/>
              <w:bidi w:val="0"/>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tblCellSpacing w:w="0" w:type="dxa"/>
        </w:trPr>
        <w:tc>
          <w:tcPr>
            <w:tcW w:w="1302" w:type="dxa"/>
            <w:vAlign w:val="center"/>
          </w:tcPr>
          <w:p>
            <w:pPr>
              <w:keepNext w:val="0"/>
              <w:keepLines w:val="0"/>
              <w:pageBreakBefore w:val="0"/>
              <w:kinsoku/>
              <w:overflowPunct/>
              <w:topLinePunct w:val="0"/>
              <w:bidi w:val="0"/>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669" w:type="dxa"/>
            <w:vAlign w:val="center"/>
          </w:tcPr>
          <w:p>
            <w:pPr>
              <w:keepNext w:val="0"/>
              <w:keepLines w:val="0"/>
              <w:pageBreakBefore w:val="0"/>
              <w:kinsoku/>
              <w:overflowPunct/>
              <w:topLinePunct w:val="0"/>
              <w:bidi w:val="0"/>
              <w:spacing w:line="360" w:lineRule="auto"/>
              <w:ind w:firstLine="480" w:firstLineChars="200"/>
              <w:jc w:val="both"/>
              <w:textAlignment w:val="auto"/>
              <w:rPr>
                <w:rFonts w:ascii="宋体" w:hAnsi="宋体" w:eastAsia="宋体" w:cs="宋体"/>
                <w:color w:val="auto"/>
                <w:kern w:val="0"/>
                <w:sz w:val="24"/>
                <w:szCs w:val="24"/>
              </w:rPr>
            </w:pPr>
            <w:r>
              <w:rPr>
                <w:rFonts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采购单位根据招标文件和合同所规定的技术要求、规格质量及其它要求，组成项目验收小组对采购项目进行验收，验收合格后，签发《政府采购验收单》。</w:t>
            </w:r>
            <w:r>
              <w:rPr>
                <w:rFonts w:ascii="宋体" w:hAnsi="宋体" w:eastAsia="宋体" w:cs="宋体"/>
                <w:color w:val="auto"/>
                <w:kern w:val="0"/>
                <w:sz w:val="24"/>
                <w:szCs w:val="24"/>
              </w:rPr>
              <w:t xml:space="preserve"> 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项目验收小组应为</w:t>
            </w:r>
            <w:r>
              <w:rPr>
                <w:rFonts w:ascii="宋体" w:hAnsi="宋体" w:eastAsia="宋体" w:cs="宋体"/>
                <w:color w:val="auto"/>
                <w:kern w:val="0"/>
                <w:sz w:val="24"/>
                <w:szCs w:val="24"/>
              </w:rPr>
              <w:t>3</w:t>
            </w:r>
            <w:r>
              <w:rPr>
                <w:rFonts w:hint="eastAsia" w:ascii="宋体" w:hAnsi="宋体" w:eastAsia="宋体" w:cs="宋体"/>
                <w:color w:val="auto"/>
                <w:kern w:val="0"/>
                <w:sz w:val="24"/>
                <w:szCs w:val="24"/>
              </w:rPr>
              <w:t>人以上（含</w:t>
            </w:r>
            <w:r>
              <w:rPr>
                <w:rFonts w:ascii="宋体" w:hAnsi="宋体" w:eastAsia="宋体" w:cs="宋体"/>
                <w:color w:val="auto"/>
                <w:kern w:val="0"/>
                <w:sz w:val="24"/>
                <w:szCs w:val="24"/>
              </w:rPr>
              <w:t>3</w:t>
            </w:r>
            <w:r>
              <w:rPr>
                <w:rFonts w:hint="eastAsia" w:ascii="宋体" w:hAnsi="宋体" w:eastAsia="宋体" w:cs="宋体"/>
                <w:color w:val="auto"/>
                <w:kern w:val="0"/>
                <w:sz w:val="24"/>
                <w:szCs w:val="24"/>
              </w:rPr>
              <w:t>人）单数。</w:t>
            </w:r>
            <w:r>
              <w:rPr>
                <w:rFonts w:ascii="宋体" w:hAnsi="宋体" w:eastAsia="宋体" w:cs="宋体"/>
                <w:color w:val="auto"/>
                <w:kern w:val="0"/>
                <w:sz w:val="24"/>
                <w:szCs w:val="24"/>
              </w:rPr>
              <w:t xml:space="preserve"> 3</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验收规范：生产厂家的产品说明书、合格证书及技术资料等；国家现行规范；当地监督管理部门要求的安全规范以及采购文件的规定。</w:t>
            </w:r>
            <w:r>
              <w:rPr>
                <w:rFonts w:ascii="宋体" w:hAnsi="宋体" w:eastAsia="宋体" w:cs="宋体"/>
                <w:color w:val="auto"/>
                <w:kern w:val="0"/>
                <w:sz w:val="24"/>
                <w:szCs w:val="24"/>
              </w:rPr>
              <w:t xml:space="preserve"> 4</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验收程序：货物验收分出厂检验、货到初步验收、安装调试验收三个阶段。</w:t>
            </w:r>
            <w:r>
              <w:rPr>
                <w:rFonts w:ascii="宋体" w:hAnsi="宋体" w:eastAsia="宋体" w:cs="宋体"/>
                <w:color w:val="auto"/>
                <w:kern w:val="0"/>
                <w:sz w:val="24"/>
                <w:szCs w:val="24"/>
              </w:rPr>
              <w:t xml:space="preserve"> 5</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出厂检验：中标人需提供设备、安装材料、工具、软件包和文件的发货清单和计划，发货计划应经采购人认可后实施。中标人负责所提供产品的出厂检验，保证产品原产地和技术指标的真实性、完整性、合法性，在采购人指定地点进行统一设备、软件设置和安装，并负责将产品送达交货地点，并向采购人提供货物制造厂的出厂检验报告、质量合格证书。采购人（或采购人授权单位）在设备（含软件）到货后，将按合同规定对所交货物进行清点、核对和商检。</w:t>
            </w:r>
            <w:r>
              <w:rPr>
                <w:rFonts w:ascii="宋体" w:hAnsi="宋体" w:eastAsia="宋体" w:cs="宋体"/>
                <w:color w:val="auto"/>
                <w:kern w:val="0"/>
                <w:sz w:val="24"/>
                <w:szCs w:val="24"/>
              </w:rPr>
              <w:t>6</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初步验收：货物到达交货地点后，由采购人会同有关部门进行基本质量和数量的验收（但不作为最终合格的保证）。该验收应达到合同规定的要求。</w:t>
            </w:r>
            <w:r>
              <w:rPr>
                <w:rFonts w:ascii="宋体" w:hAnsi="宋体" w:eastAsia="宋体" w:cs="宋体"/>
                <w:color w:val="auto"/>
                <w:kern w:val="0"/>
                <w:sz w:val="24"/>
                <w:szCs w:val="24"/>
              </w:rPr>
              <w:t xml:space="preserve"> 7</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安装调试验收：中标人根据采购要求进行产品安装、调试后，由采购人进行使用性能方面的验收（最终验收）。各项指标和参数应符合验收标准，凡未达到质量要求，作退货处理，中标人承担违约责任。</w:t>
            </w:r>
            <w:r>
              <w:rPr>
                <w:rFonts w:ascii="宋体" w:hAnsi="宋体" w:eastAsia="宋体" w:cs="宋体"/>
                <w:color w:val="auto"/>
                <w:kern w:val="0"/>
                <w:sz w:val="24"/>
                <w:szCs w:val="24"/>
              </w:rPr>
              <w:t xml:space="preserve"> 8</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投标人不得虚报各项技术指标，中标产品若不能符合技术要求，中标人必须无条件及时换货，并承担由此给采购单位造成的一切损失。</w:t>
            </w:r>
            <w:r>
              <w:rPr>
                <w:rFonts w:ascii="宋体" w:hAnsi="宋体" w:eastAsia="宋体" w:cs="宋体"/>
                <w:color w:val="auto"/>
                <w:kern w:val="0"/>
                <w:sz w:val="24"/>
                <w:szCs w:val="24"/>
              </w:rPr>
              <w:t xml:space="preserve"> 9</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安装货物由中标人按照合同约定的具体数量、地点及时间运送到安装现场进行安装，并负责安装调试工作，经最终验收合格后，交付采购人使用。</w:t>
            </w:r>
            <w:r>
              <w:rPr>
                <w:rFonts w:ascii="宋体" w:hAnsi="宋体" w:eastAsia="宋体" w:cs="宋体"/>
                <w:color w:val="auto"/>
                <w:kern w:val="0"/>
                <w:sz w:val="24"/>
                <w:szCs w:val="24"/>
              </w:rPr>
              <w:t xml:space="preserve"> 10</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培训：中标人应结合本次采购的货物，有计划地对采购人派出管理、维护人员进行安装现场的基本知识、使用、维护及保养技术的培训。</w:t>
            </w:r>
            <w:r>
              <w:rPr>
                <w:rFonts w:ascii="宋体" w:hAnsi="宋体" w:eastAsia="宋体" w:cs="宋体"/>
                <w:color w:val="auto"/>
                <w:kern w:val="0"/>
                <w:sz w:val="24"/>
                <w:szCs w:val="24"/>
              </w:rPr>
              <w:t xml:space="preserve"> 11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技术资料要求</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lang w:eastAsia="zh-CN"/>
              </w:rPr>
              <w:t>：</w:t>
            </w:r>
            <w:r>
              <w:rPr>
                <w:rFonts w:ascii="宋体" w:hAnsi="宋体" w:eastAsia="宋体" w:cs="宋体"/>
                <w:color w:val="auto"/>
                <w:kern w:val="0"/>
                <w:sz w:val="24"/>
                <w:szCs w:val="24"/>
              </w:rPr>
              <w:t>1</w:t>
            </w:r>
            <w:r>
              <w:rPr>
                <w:rFonts w:hint="eastAsia" w:ascii="宋体" w:hAnsi="宋体" w:eastAsia="宋体" w:cs="宋体"/>
                <w:color w:val="auto"/>
                <w:kern w:val="0"/>
                <w:sz w:val="24"/>
                <w:szCs w:val="24"/>
              </w:rPr>
              <w:t>）包装和装箱的详细情况说明；</w:t>
            </w:r>
            <w:r>
              <w:rPr>
                <w:rFonts w:ascii="宋体" w:hAnsi="宋体" w:eastAsia="宋体" w:cs="宋体"/>
                <w:color w:val="auto"/>
                <w:kern w:val="0"/>
                <w:sz w:val="24"/>
                <w:szCs w:val="24"/>
              </w:rPr>
              <w:t xml:space="preserve"> 2</w:t>
            </w:r>
            <w:r>
              <w:rPr>
                <w:rFonts w:hint="eastAsia" w:ascii="宋体" w:hAnsi="宋体" w:eastAsia="宋体" w:cs="宋体"/>
                <w:color w:val="auto"/>
                <w:kern w:val="0"/>
                <w:sz w:val="24"/>
                <w:szCs w:val="24"/>
              </w:rPr>
              <w:t>）中标人应向采购人提供完整的技术资料中文壹套（技术说明书、使用说明书、维修手册、安装维修手册、操作手册、常用易消耗品单价等）。</w:t>
            </w:r>
          </w:p>
        </w:tc>
      </w:tr>
    </w:tbl>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p>
    <w:p>
      <w:pPr>
        <w:keepNext w:val="0"/>
        <w:keepLines w:val="0"/>
        <w:pageBreakBefore w:val="0"/>
        <w:widowControl/>
        <w:numPr>
          <w:ilvl w:val="0"/>
          <w:numId w:val="7"/>
        </w:numPr>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合同款项支付</w:t>
      </w:r>
    </w:p>
    <w:tbl>
      <w:tblPr>
        <w:tblStyle w:val="11"/>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707"/>
        <w:gridCol w:w="5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24" w:type="dxa"/>
            <w:vAlign w:val="center"/>
          </w:tcPr>
          <w:p>
            <w:pPr>
              <w:keepNext w:val="0"/>
              <w:keepLines w:val="0"/>
              <w:pageBreakBefore w:val="0"/>
              <w:kinsoku/>
              <w:overflowPunct/>
              <w:topLinePunct w:val="0"/>
              <w:bidi w:val="0"/>
              <w:spacing w:line="360" w:lineRule="auto"/>
              <w:jc w:val="center"/>
              <w:textAlignment w:val="auto"/>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支付期次</w:t>
            </w:r>
          </w:p>
        </w:tc>
        <w:tc>
          <w:tcPr>
            <w:tcW w:w="1707" w:type="dxa"/>
            <w:vAlign w:val="center"/>
          </w:tcPr>
          <w:p>
            <w:pPr>
              <w:keepNext w:val="0"/>
              <w:keepLines w:val="0"/>
              <w:pageBreakBefore w:val="0"/>
              <w:kinsoku/>
              <w:overflowPunct/>
              <w:topLinePunct w:val="0"/>
              <w:bidi w:val="0"/>
              <w:spacing w:line="360" w:lineRule="auto"/>
              <w:jc w:val="center"/>
              <w:textAlignment w:val="auto"/>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支付比例（%）</w:t>
            </w:r>
          </w:p>
        </w:tc>
        <w:tc>
          <w:tcPr>
            <w:tcW w:w="5585" w:type="dxa"/>
            <w:vAlign w:val="center"/>
          </w:tcPr>
          <w:p>
            <w:pPr>
              <w:keepNext w:val="0"/>
              <w:keepLines w:val="0"/>
              <w:pageBreakBefore w:val="0"/>
              <w:kinsoku/>
              <w:overflowPunct/>
              <w:topLinePunct w:val="0"/>
              <w:bidi w:val="0"/>
              <w:spacing w:line="360" w:lineRule="auto"/>
              <w:jc w:val="center"/>
              <w:textAlignment w:val="auto"/>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keepNext w:val="0"/>
              <w:keepLines w:val="0"/>
              <w:pageBreakBefore w:val="0"/>
              <w:kinsoku/>
              <w:overflowPunct/>
              <w:topLinePunct w:val="0"/>
              <w:bidi w:val="0"/>
              <w:spacing w:line="360" w:lineRule="auto"/>
              <w:jc w:val="center"/>
              <w:textAlignment w:val="auto"/>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p>
        </w:tc>
        <w:tc>
          <w:tcPr>
            <w:tcW w:w="1707" w:type="dxa"/>
            <w:vAlign w:val="center"/>
          </w:tcPr>
          <w:p>
            <w:pPr>
              <w:keepNext w:val="0"/>
              <w:keepLines w:val="0"/>
              <w:pageBreakBefore w:val="0"/>
              <w:kinsoku/>
              <w:overflowPunct/>
              <w:topLinePunct w:val="0"/>
              <w:bidi w:val="0"/>
              <w:spacing w:line="360" w:lineRule="auto"/>
              <w:jc w:val="center"/>
              <w:textAlignment w:val="auto"/>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100</w:t>
            </w:r>
          </w:p>
        </w:tc>
        <w:tc>
          <w:tcPr>
            <w:tcW w:w="5585" w:type="dxa"/>
            <w:vAlign w:val="center"/>
          </w:tcPr>
          <w:p>
            <w:pPr>
              <w:keepNext w:val="0"/>
              <w:keepLines w:val="0"/>
              <w:pageBreakBefore w:val="0"/>
              <w:kinsoku/>
              <w:overflowPunct/>
              <w:topLinePunct w:val="0"/>
              <w:bidi w:val="0"/>
              <w:spacing w:line="360" w:lineRule="auto"/>
              <w:textAlignment w:val="auto"/>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货到现场安装调试完毕，经正式验收合格并收到税务发票后，采购单位1个月内支付合同总价100%的款项。货到现场安装调试完毕，经正式验收合格并收到税务发票后，采购单位1个月内支付合同总价100%的款项。</w:t>
            </w:r>
          </w:p>
        </w:tc>
      </w:tr>
    </w:tbl>
    <w:p>
      <w:pPr>
        <w:keepNext w:val="0"/>
        <w:keepLines w:val="0"/>
        <w:pageBreakBefore w:val="0"/>
        <w:widowControl/>
        <w:kinsoku/>
        <w:overflowPunct/>
        <w:topLinePunct w:val="0"/>
        <w:bidi w:val="0"/>
        <w:spacing w:before="75" w:after="75" w:line="360" w:lineRule="auto"/>
        <w:jc w:val="left"/>
        <w:textAlignment w:val="auto"/>
        <w:outlineLvl w:val="1"/>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四、其他事项</w:t>
      </w:r>
    </w:p>
    <w:p>
      <w:pPr>
        <w:pStyle w:val="8"/>
        <w:keepNext w:val="0"/>
        <w:keepLines w:val="0"/>
        <w:pageBreakBefore w:val="0"/>
        <w:widowControl/>
        <w:kinsoku/>
        <w:overflowPunct/>
        <w:topLinePunct w:val="0"/>
        <w:bidi w:val="0"/>
        <w:spacing w:before="75" w:beforeAutospacing="0" w:after="75" w:afterAutospacing="0" w:line="360" w:lineRule="auto"/>
        <w:ind w:firstLine="480" w:firstLineChars="200"/>
        <w:textAlignment w:val="auto"/>
        <w:rPr>
          <w:rFonts w:ascii="宋体" w:hAnsi="宋体" w:eastAsia="宋体" w:cs="宋体"/>
          <w:color w:val="auto"/>
          <w:szCs w:val="24"/>
        </w:rPr>
      </w:pPr>
      <w:r>
        <w:rPr>
          <w:rFonts w:hint="eastAsia" w:ascii="宋体" w:hAnsi="宋体" w:eastAsia="宋体" w:cs="宋体"/>
          <w:color w:val="auto"/>
          <w:szCs w:val="24"/>
        </w:rPr>
        <w:t>1、除谈判文件另有规定外，若出现有关法律、法规和规章有强制性规定但谈判文件未列明的情形，则供应商应按照有关法律、法规和规章强制性规定执行。</w:t>
      </w:r>
    </w:p>
    <w:p>
      <w:pPr>
        <w:keepNext w:val="0"/>
        <w:keepLines w:val="0"/>
        <w:pageBreakBefore w:val="0"/>
        <w:kinsoku/>
        <w:overflowPunct/>
        <w:topLinePunct w:val="0"/>
        <w:bidi w:val="0"/>
        <w:spacing w:line="360" w:lineRule="auto"/>
        <w:ind w:firstLine="480" w:firstLineChars="200"/>
        <w:textAlignment w:val="auto"/>
        <w:rPr>
          <w:rFonts w:ascii="宋体" w:hAnsi="宋体" w:eastAsia="宋体" w:cs="宋体"/>
          <w:b/>
          <w:bCs/>
          <w:color w:val="auto"/>
          <w:kern w:val="0"/>
          <w:sz w:val="30"/>
          <w:szCs w:val="30"/>
        </w:rPr>
      </w:pPr>
      <w:r>
        <w:rPr>
          <w:rFonts w:hint="eastAsia" w:ascii="宋体" w:hAnsi="宋体" w:eastAsia="宋体" w:cs="宋体"/>
          <w:color w:val="auto"/>
          <w:kern w:val="0"/>
          <w:sz w:val="24"/>
          <w:szCs w:val="24"/>
        </w:rPr>
        <w:t>2、无。</w:t>
      </w:r>
      <w:r>
        <w:rPr>
          <w:rFonts w:hint="eastAsia" w:ascii="宋体" w:hAnsi="宋体" w:eastAsia="宋体" w:cs="宋体"/>
          <w:b/>
          <w:bCs/>
          <w:color w:val="auto"/>
          <w:kern w:val="0"/>
          <w:sz w:val="30"/>
          <w:szCs w:val="30"/>
        </w:rPr>
        <w:br w:type="page"/>
      </w:r>
    </w:p>
    <w:p>
      <w:pPr>
        <w:keepNext w:val="0"/>
        <w:keepLines w:val="0"/>
        <w:pageBreakBefore w:val="0"/>
        <w:widowControl/>
        <w:kinsoku/>
        <w:overflowPunct/>
        <w:topLinePunct w:val="0"/>
        <w:bidi w:val="0"/>
        <w:spacing w:before="75" w:after="75" w:line="360" w:lineRule="auto"/>
        <w:jc w:val="center"/>
        <w:textAlignment w:val="auto"/>
        <w:outlineLvl w:val="0"/>
        <w:rPr>
          <w:rFonts w:ascii="宋体" w:hAnsi="宋体" w:eastAsia="宋体" w:cs="宋体"/>
          <w:color w:val="auto"/>
          <w:kern w:val="0"/>
          <w:sz w:val="32"/>
          <w:szCs w:val="32"/>
        </w:rPr>
      </w:pPr>
      <w:r>
        <w:rPr>
          <w:rFonts w:hint="eastAsia" w:ascii="宋体" w:hAnsi="宋体" w:eastAsia="宋体" w:cs="宋体"/>
          <w:b/>
          <w:bCs/>
          <w:color w:val="auto"/>
          <w:kern w:val="0"/>
          <w:sz w:val="32"/>
          <w:szCs w:val="32"/>
        </w:rPr>
        <w:t>第四章</w:t>
      </w:r>
      <w:r>
        <w:rPr>
          <w:rFonts w:hint="eastAsia" w:ascii="宋体" w:hAnsi="宋体" w:eastAsia="宋体" w:cs="宋体"/>
          <w:b/>
          <w:bCs/>
          <w:color w:val="auto"/>
          <w:kern w:val="0"/>
          <w:sz w:val="30"/>
          <w:szCs w:val="30"/>
        </w:rPr>
        <w:t>  </w:t>
      </w:r>
      <w:r>
        <w:rPr>
          <w:rFonts w:hint="eastAsia" w:ascii="宋体" w:hAnsi="宋体" w:eastAsia="宋体" w:cs="宋体"/>
          <w:b/>
          <w:bCs/>
          <w:color w:val="auto"/>
          <w:kern w:val="0"/>
          <w:sz w:val="32"/>
          <w:szCs w:val="32"/>
        </w:rPr>
        <w:t>合同主要条款及格式</w:t>
      </w:r>
    </w:p>
    <w:p>
      <w:pPr>
        <w:keepNext w:val="0"/>
        <w:keepLines w:val="0"/>
        <w:pageBreakBefore w:val="0"/>
        <w:widowControl/>
        <w:kinsoku/>
        <w:overflowPunct/>
        <w:topLinePunct w:val="0"/>
        <w:bidi w:val="0"/>
        <w:spacing w:before="75" w:after="75"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overflowPunct/>
        <w:topLinePunct w:val="0"/>
        <w:bidi w:val="0"/>
        <w:spacing w:before="75" w:after="75" w:line="360" w:lineRule="auto"/>
        <w:jc w:val="center"/>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编制说明</w:t>
      </w:r>
    </w:p>
    <w:p>
      <w:pPr>
        <w:keepNext w:val="0"/>
        <w:keepLines w:val="0"/>
        <w:pageBreakBefore w:val="0"/>
        <w:widowControl/>
        <w:kinsoku/>
        <w:overflowPunct/>
        <w:topLinePunct w:val="0"/>
        <w:bidi w:val="0"/>
        <w:spacing w:before="75" w:after="75" w:line="360" w:lineRule="auto"/>
        <w:ind w:firstLine="482" w:firstLineChars="200"/>
        <w:jc w:val="left"/>
        <w:textAlignment w:val="auto"/>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1、签订合同应遵守《中华人民共和国政府采购法》、《中华人民共和国民法典》。</w:t>
      </w:r>
    </w:p>
    <w:p>
      <w:pPr>
        <w:keepNext w:val="0"/>
        <w:keepLines w:val="0"/>
        <w:pageBreakBefore w:val="0"/>
        <w:widowControl/>
        <w:kinsoku/>
        <w:overflowPunct/>
        <w:topLinePunct w:val="0"/>
        <w:bidi w:val="0"/>
        <w:spacing w:before="75" w:after="75" w:line="360" w:lineRule="auto"/>
        <w:ind w:firstLine="482" w:firstLineChars="200"/>
        <w:jc w:val="left"/>
        <w:textAlignment w:val="auto"/>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2、签订合同时，采购人与成交供应商应结合谈判文件第四章规定填列相应内容。如果双方使用谈判文件第四章已有规定的条款及格式，双方均不得对规定进行变更或调整；谈判文件第四章未作规定的条款及格式，双方可通过友好协商进行约定。</w:t>
      </w:r>
    </w:p>
    <w:p>
      <w:pPr>
        <w:keepNext w:val="0"/>
        <w:keepLines w:val="0"/>
        <w:pageBreakBefore w:val="0"/>
        <w:widowControl/>
        <w:kinsoku/>
        <w:overflowPunct/>
        <w:topLinePunct w:val="0"/>
        <w:bidi w:val="0"/>
        <w:spacing w:before="75" w:after="75" w:line="360" w:lineRule="auto"/>
        <w:ind w:firstLine="482" w:firstLineChars="200"/>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3.本章节所附的合同主要条款及格式为参考文本，如果因为项目实际特点不能适用，则可由甲乙双方在合同签订阶段可通过友好协商进行约定。</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甲方：（采购人全称）</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乙方：（成交供应商全称）</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根据项目编号为       的（填写“项目名称”）项目（以下简称：“本项目”）的谈判结果，乙方为成交供应商。现经甲乙双方友好协商，就以下事项达成一致并签订本合同：</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1、下列合同文件是构成本合同不可分割的部分：</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1.1合同条款；</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1.2谈判文件、乙方的响应文件；</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1.3其他文件或材料：□无。□（若有联合协议或分包意向协议）。</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2、合同标的</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（根据实际情况填写，可以是表格或文字描述）。</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3、合同总金额</w:t>
      </w:r>
    </w:p>
    <w:p>
      <w:pPr>
        <w:keepNext w:val="0"/>
        <w:keepLines w:val="0"/>
        <w:pageBreakBefore w:val="0"/>
        <w:widowControl/>
        <w:kinsoku/>
        <w:overflowPunct/>
        <w:topLinePunct w:val="0"/>
        <w:bidi w:val="0"/>
        <w:spacing w:before="75" w:after="75" w:line="360" w:lineRule="auto"/>
        <w:ind w:left="479" w:leftChars="228"/>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3.1合同总金额为人民币大写：              元（￥              ）。</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4、合同标的交付时间、地点和条件</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4.1交付时间：                     ；</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4.2交付地点：                     ；</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4.3交付条件：                     。</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5、合同标的应符合谈判文件、乙方响应文件的规定或约定，具体如下：</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（根据实际情况填写，可以是表格或文字描述）。</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6、验收</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6.1验收应按照谈判文件、乙方响应文件的规定或约定进行，具体如下：</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（根据实际情况填写，可以是表格或文字描述）。</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6.2本项目是否邀请其他供应商参与验收：</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□不邀请。□邀请，具体如下：（按照谈判文件规定填写）。</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7、合同款项的支付应按照谈判文件的规定进行，具体如下：</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（根据实际情况填写，可以是表格或文字描述，包括一次性支付或分期支付等）。</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8、履约保证金</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□无。□有，具体如下：（按照谈判文件规定填写）。</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9、合同有效期</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（根据实际情况填写，可以是表格或文字描述）。</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10、违约责任</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（根据实际情况填写，可以是表格或文字描述）。</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11、知识产权</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根据实际情况填写）。</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12、解决争议的方法</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12.1甲、乙双方协商解决。</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12.2若协商解决不成，则通过下列途径之一解决：</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□提交仲裁委员会仲裁，具体如下：（根据实际情况填写）。</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□向人民法院提起诉讼，具体如下：（根据实际情况填写）。</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13、不可抗力</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14、合同条款</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（根据实际情况填写）。</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15、其他约定</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15.1合同文件与本合同具有同等法律效力。</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15.2本合同未尽事宜，双方可另行补充。</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15.3本合同自签订之日起生效。</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15.4本合同一式（填写具体份数）份，经双方授权代表签字并盖章后生效。甲方、乙方各执（填写具体份数）份，送（填写需要备案的监管部门的全称）备案（填写具体份数）份，具有同等效力。</w:t>
      </w:r>
    </w:p>
    <w:p>
      <w:pPr>
        <w:keepNext w:val="0"/>
        <w:keepLines w:val="0"/>
        <w:pageBreakBefore w:val="0"/>
        <w:widowControl/>
        <w:kinsoku/>
        <w:overflowPunct/>
        <w:topLinePunct w:val="0"/>
        <w:bidi w:val="0"/>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15.5其他：□无。□（根据实际情况填写需要增加的内容）。</w:t>
      </w:r>
    </w:p>
    <w:p>
      <w:pPr>
        <w:keepNext w:val="0"/>
        <w:keepLines w:val="0"/>
        <w:pageBreakBefore w:val="0"/>
        <w:widowControl/>
        <w:kinsoku/>
        <w:overflowPunct/>
        <w:topLinePunct w:val="0"/>
        <w:bidi w:val="0"/>
        <w:spacing w:before="75" w:after="75" w:line="360" w:lineRule="auto"/>
        <w:jc w:val="center"/>
        <w:textAlignment w:val="auto"/>
        <w:rPr>
          <w:rFonts w:ascii="宋体" w:hAnsi="宋体" w:eastAsia="宋体" w:cs="宋体"/>
          <w:color w:val="auto"/>
          <w:kern w:val="0"/>
          <w:sz w:val="24"/>
          <w:szCs w:val="24"/>
        </w:rPr>
      </w:pPr>
    </w:p>
    <w:p>
      <w:pPr>
        <w:keepNext w:val="0"/>
        <w:keepLines w:val="0"/>
        <w:pageBreakBefore w:val="0"/>
        <w:widowControl/>
        <w:kinsoku/>
        <w:overflowPunct/>
        <w:topLinePunct w:val="0"/>
        <w:bidi w:val="0"/>
        <w:spacing w:before="75" w:after="75"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（以下无正文）</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甲方：               乙方：</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住所：               住所：</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单位负责人：            单位负责人：</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委托代理人：            委托代理人：</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联系方法：             联系方法：</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开户银行：             开户银行：</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账号：               账号：</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签订地点：                </w:t>
      </w:r>
    </w:p>
    <w:p>
      <w:pPr>
        <w:keepNext w:val="0"/>
        <w:keepLines w:val="0"/>
        <w:pageBreakBefore w:val="0"/>
        <w:widowControl/>
        <w:kinsoku/>
        <w:overflowPunct/>
        <w:topLinePunct w:val="0"/>
        <w:bidi w:val="0"/>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签订日期：    年   月   日</w:t>
      </w:r>
    </w:p>
    <w:p>
      <w:pPr>
        <w:widowControl/>
        <w:spacing w:before="75" w:after="75" w:line="360" w:lineRule="auto"/>
        <w:jc w:val="left"/>
        <w:rPr>
          <w:rFonts w:ascii="宋体" w:hAnsi="宋体" w:eastAsia="宋体" w:cs="宋体"/>
          <w:color w:val="auto"/>
          <w:kern w:val="0"/>
          <w:sz w:val="24"/>
          <w:szCs w:val="24"/>
        </w:rPr>
      </w:pPr>
    </w:p>
    <w:p>
      <w:pPr>
        <w:widowControl/>
        <w:spacing w:before="75" w:after="240" w:line="360" w:lineRule="auto"/>
        <w:jc w:val="left"/>
        <w:rPr>
          <w:rFonts w:ascii="宋体" w:hAnsi="宋体" w:eastAsia="宋体" w:cs="宋体"/>
          <w:color w:val="auto"/>
          <w:kern w:val="0"/>
          <w:sz w:val="24"/>
          <w:szCs w:val="24"/>
        </w:rPr>
      </w:pPr>
    </w:p>
    <w:p>
      <w:pPr>
        <w:widowControl/>
        <w:spacing w:before="75" w:after="75" w:line="360" w:lineRule="auto"/>
        <w:jc w:val="center"/>
        <w:rPr>
          <w:rFonts w:ascii="宋体" w:hAnsi="宋体" w:eastAsia="宋体" w:cs="宋体"/>
          <w:color w:val="auto"/>
          <w:kern w:val="0"/>
          <w:sz w:val="24"/>
          <w:szCs w:val="24"/>
        </w:rPr>
      </w:pPr>
      <w:r>
        <w:rPr>
          <w:rFonts w:hint="eastAsia" w:ascii="宋体" w:hAnsi="宋体" w:eastAsia="宋体" w:cs="宋体"/>
          <w:b/>
          <w:bCs/>
          <w:color w:val="auto"/>
          <w:kern w:val="0"/>
          <w:sz w:val="24"/>
          <w:szCs w:val="24"/>
        </w:rPr>
        <w:t> </w:t>
      </w:r>
    </w:p>
    <w:p>
      <w:pPr>
        <w:spacing w:line="360" w:lineRule="auto"/>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br w:type="page"/>
      </w:r>
    </w:p>
    <w:p>
      <w:pPr>
        <w:keepNext w:val="0"/>
        <w:keepLines w:val="0"/>
        <w:pageBreakBefore w:val="0"/>
        <w:widowControl/>
        <w:kinsoku/>
        <w:wordWrap/>
        <w:overflowPunct/>
        <w:topLinePunct w:val="0"/>
        <w:bidi w:val="0"/>
        <w:snapToGrid/>
        <w:spacing w:before="75" w:after="75" w:line="360" w:lineRule="auto"/>
        <w:jc w:val="center"/>
        <w:textAlignment w:val="auto"/>
        <w:outlineLvl w:val="0"/>
        <w:rPr>
          <w:rFonts w:ascii="宋体" w:hAnsi="宋体" w:eastAsia="宋体" w:cs="宋体"/>
          <w:color w:val="auto"/>
          <w:kern w:val="0"/>
          <w:sz w:val="32"/>
          <w:szCs w:val="32"/>
        </w:rPr>
      </w:pPr>
      <w:r>
        <w:rPr>
          <w:rFonts w:hint="eastAsia" w:ascii="宋体" w:hAnsi="宋体" w:eastAsia="宋体" w:cs="宋体"/>
          <w:b/>
          <w:bCs/>
          <w:color w:val="auto"/>
          <w:kern w:val="0"/>
          <w:sz w:val="32"/>
          <w:szCs w:val="32"/>
        </w:rPr>
        <w:t>第五章  首次响应文件格式</w:t>
      </w:r>
    </w:p>
    <w:p>
      <w:pPr>
        <w:keepNext w:val="0"/>
        <w:keepLines w:val="0"/>
        <w:pageBreakBefore w:val="0"/>
        <w:widowControl/>
        <w:kinsoku/>
        <w:wordWrap/>
        <w:overflowPunct/>
        <w:topLinePunct w:val="0"/>
        <w:bidi w:val="0"/>
        <w:snapToGrid/>
        <w:spacing w:before="75" w:after="75" w:line="360" w:lineRule="auto"/>
        <w:jc w:val="center"/>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center"/>
        <w:textAlignment w:val="auto"/>
        <w:outlineLvl w:val="1"/>
        <w:rPr>
          <w:rFonts w:ascii="宋体" w:hAnsi="宋体" w:eastAsia="宋体" w:cs="宋体"/>
          <w:color w:val="auto"/>
          <w:kern w:val="0"/>
          <w:sz w:val="24"/>
          <w:szCs w:val="24"/>
        </w:rPr>
      </w:pPr>
      <w:r>
        <w:rPr>
          <w:rFonts w:hint="eastAsia" w:ascii="宋体" w:hAnsi="宋体" w:eastAsia="宋体" w:cs="宋体"/>
          <w:b/>
          <w:bCs/>
          <w:color w:val="auto"/>
          <w:kern w:val="0"/>
          <w:sz w:val="24"/>
          <w:szCs w:val="24"/>
        </w:rPr>
        <w:t>编制说明</w:t>
      </w:r>
    </w:p>
    <w:p>
      <w:pPr>
        <w:keepNext w:val="0"/>
        <w:keepLines w:val="0"/>
        <w:pageBreakBefore w:val="0"/>
        <w:widowControl/>
        <w:kinsoku/>
        <w:wordWrap/>
        <w:overflowPunct/>
        <w:topLinePunct w:val="0"/>
        <w:bidi w:val="0"/>
        <w:snapToGrid/>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2、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复印件无效”的材料或资料，供应商在纸质响应文件正本中应提供原件）。</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jc w:val="center"/>
        <w:textAlignment w:val="auto"/>
        <w:rPr>
          <w:rFonts w:ascii="宋体" w:hAnsi="宋体" w:eastAsia="宋体" w:cs="宋体"/>
          <w:color w:val="auto"/>
          <w:kern w:val="0"/>
          <w:sz w:val="30"/>
          <w:szCs w:val="30"/>
        </w:rPr>
      </w:pPr>
      <w:r>
        <w:rPr>
          <w:rFonts w:hint="eastAsia" w:ascii="宋体" w:hAnsi="宋体" w:eastAsia="宋体" w:cs="宋体"/>
          <w:b/>
          <w:bCs/>
          <w:color w:val="auto"/>
          <w:kern w:val="0"/>
          <w:sz w:val="30"/>
          <w:szCs w:val="30"/>
        </w:rPr>
        <w:t>竞争性谈判</w:t>
      </w:r>
    </w:p>
    <w:p>
      <w:pPr>
        <w:keepNext w:val="0"/>
        <w:keepLines w:val="0"/>
        <w:pageBreakBefore w:val="0"/>
        <w:widowControl/>
        <w:kinsoku/>
        <w:wordWrap/>
        <w:overflowPunct/>
        <w:topLinePunct w:val="0"/>
        <w:bidi w:val="0"/>
        <w:snapToGrid/>
        <w:spacing w:before="75" w:after="75" w:line="360" w:lineRule="auto"/>
        <w:jc w:val="center"/>
        <w:textAlignment w:val="auto"/>
        <w:rPr>
          <w:rFonts w:ascii="宋体" w:hAnsi="宋体" w:eastAsia="宋体" w:cs="宋体"/>
          <w:color w:val="auto"/>
          <w:kern w:val="0"/>
          <w:sz w:val="30"/>
          <w:szCs w:val="30"/>
        </w:rPr>
      </w:pPr>
      <w:r>
        <w:rPr>
          <w:rFonts w:hint="eastAsia" w:ascii="宋体" w:hAnsi="宋体" w:eastAsia="宋体" w:cs="宋体"/>
          <w:b/>
          <w:bCs/>
          <w:color w:val="auto"/>
          <w:kern w:val="0"/>
          <w:sz w:val="30"/>
          <w:szCs w:val="30"/>
        </w:rPr>
        <w:t> </w:t>
      </w:r>
    </w:p>
    <w:p>
      <w:pPr>
        <w:keepNext w:val="0"/>
        <w:keepLines w:val="0"/>
        <w:pageBreakBefore w:val="0"/>
        <w:widowControl/>
        <w:kinsoku/>
        <w:wordWrap/>
        <w:overflowPunct/>
        <w:topLinePunct w:val="0"/>
        <w:bidi w:val="0"/>
        <w:snapToGrid/>
        <w:spacing w:before="75" w:after="75" w:line="360" w:lineRule="auto"/>
        <w:jc w:val="center"/>
        <w:textAlignment w:val="auto"/>
        <w:outlineLvl w:val="1"/>
        <w:rPr>
          <w:rFonts w:ascii="宋体" w:hAnsi="宋体" w:eastAsia="宋体" w:cs="宋体"/>
          <w:color w:val="auto"/>
          <w:kern w:val="0"/>
          <w:sz w:val="30"/>
          <w:szCs w:val="30"/>
        </w:rPr>
      </w:pPr>
      <w:r>
        <w:rPr>
          <w:rFonts w:hint="eastAsia" w:ascii="宋体" w:hAnsi="宋体" w:eastAsia="宋体" w:cs="宋体"/>
          <w:b/>
          <w:bCs/>
          <w:color w:val="auto"/>
          <w:kern w:val="0"/>
          <w:sz w:val="30"/>
          <w:szCs w:val="30"/>
        </w:rPr>
        <w:t>响应文件</w:t>
      </w:r>
    </w:p>
    <w:p>
      <w:pPr>
        <w:keepNext w:val="0"/>
        <w:keepLines w:val="0"/>
        <w:pageBreakBefore w:val="0"/>
        <w:widowControl/>
        <w:kinsoku/>
        <w:wordWrap/>
        <w:overflowPunct/>
        <w:topLinePunct w:val="0"/>
        <w:bidi w:val="0"/>
        <w:snapToGrid/>
        <w:spacing w:before="75" w:after="75" w:line="360" w:lineRule="auto"/>
        <w:jc w:val="center"/>
        <w:textAlignment w:val="auto"/>
        <w:rPr>
          <w:rFonts w:ascii="宋体" w:hAnsi="宋体" w:eastAsia="宋体" w:cs="宋体"/>
          <w:color w:val="auto"/>
          <w:kern w:val="0"/>
          <w:sz w:val="30"/>
          <w:szCs w:val="30"/>
        </w:rPr>
      </w:pPr>
      <w:r>
        <w:rPr>
          <w:rFonts w:hint="eastAsia" w:ascii="宋体" w:hAnsi="宋体" w:eastAsia="宋体" w:cs="宋体"/>
          <w:b/>
          <w:bCs/>
          <w:color w:val="auto"/>
          <w:kern w:val="0"/>
          <w:sz w:val="30"/>
          <w:szCs w:val="30"/>
        </w:rPr>
        <w:t>（首次）</w:t>
      </w:r>
    </w:p>
    <w:p>
      <w:pPr>
        <w:keepNext w:val="0"/>
        <w:keepLines w:val="0"/>
        <w:pageBreakBefore w:val="0"/>
        <w:widowControl/>
        <w:kinsoku/>
        <w:wordWrap/>
        <w:overflowPunct/>
        <w:topLinePunct w:val="0"/>
        <w:bidi w:val="0"/>
        <w:snapToGrid/>
        <w:spacing w:before="75" w:after="75" w:line="360" w:lineRule="auto"/>
        <w:jc w:val="center"/>
        <w:textAlignment w:val="auto"/>
        <w:rPr>
          <w:rFonts w:ascii="宋体" w:hAnsi="宋体" w:eastAsia="宋体" w:cs="宋体"/>
          <w:color w:val="auto"/>
          <w:kern w:val="0"/>
          <w:sz w:val="30"/>
          <w:szCs w:val="30"/>
        </w:rPr>
      </w:pPr>
      <w:r>
        <w:rPr>
          <w:rFonts w:hint="eastAsia" w:ascii="宋体" w:hAnsi="宋体" w:eastAsia="宋体" w:cs="宋体"/>
          <w:color w:val="auto"/>
          <w:kern w:val="0"/>
          <w:sz w:val="30"/>
          <w:szCs w:val="30"/>
        </w:rPr>
        <w:t> </w:t>
      </w:r>
    </w:p>
    <w:p>
      <w:pPr>
        <w:keepNext w:val="0"/>
        <w:keepLines w:val="0"/>
        <w:pageBreakBefore w:val="0"/>
        <w:widowControl/>
        <w:kinsoku/>
        <w:wordWrap/>
        <w:overflowPunct/>
        <w:topLinePunct w:val="0"/>
        <w:bidi w:val="0"/>
        <w:snapToGrid/>
        <w:spacing w:before="75" w:after="75" w:line="360" w:lineRule="auto"/>
        <w:ind w:firstLine="1260"/>
        <w:jc w:val="left"/>
        <w:textAlignment w:val="auto"/>
        <w:rPr>
          <w:rFonts w:ascii="宋体" w:hAnsi="宋体" w:eastAsia="宋体" w:cs="宋体"/>
          <w:color w:val="auto"/>
          <w:kern w:val="0"/>
          <w:sz w:val="30"/>
          <w:szCs w:val="30"/>
        </w:rPr>
      </w:pPr>
      <w:r>
        <w:rPr>
          <w:rFonts w:hint="eastAsia" w:ascii="宋体" w:hAnsi="宋体" w:eastAsia="宋体" w:cs="宋体"/>
          <w:b/>
          <w:bCs/>
          <w:color w:val="auto"/>
          <w:kern w:val="0"/>
          <w:sz w:val="30"/>
          <w:szCs w:val="30"/>
        </w:rPr>
        <w:t>项目名称：               </w:t>
      </w:r>
    </w:p>
    <w:p>
      <w:pPr>
        <w:keepNext w:val="0"/>
        <w:keepLines w:val="0"/>
        <w:pageBreakBefore w:val="0"/>
        <w:widowControl/>
        <w:kinsoku/>
        <w:wordWrap/>
        <w:overflowPunct/>
        <w:topLinePunct w:val="0"/>
        <w:bidi w:val="0"/>
        <w:snapToGrid/>
        <w:spacing w:before="75" w:after="75" w:line="360" w:lineRule="auto"/>
        <w:ind w:firstLine="1260"/>
        <w:jc w:val="left"/>
        <w:textAlignment w:val="auto"/>
        <w:rPr>
          <w:rFonts w:ascii="宋体" w:hAnsi="宋体" w:eastAsia="宋体" w:cs="宋体"/>
          <w:color w:val="auto"/>
          <w:kern w:val="0"/>
          <w:sz w:val="30"/>
          <w:szCs w:val="30"/>
        </w:rPr>
      </w:pPr>
      <w:r>
        <w:rPr>
          <w:rFonts w:hint="eastAsia" w:ascii="宋体" w:hAnsi="宋体" w:eastAsia="宋体" w:cs="宋体"/>
          <w:b/>
          <w:bCs/>
          <w:color w:val="auto"/>
          <w:kern w:val="0"/>
          <w:sz w:val="30"/>
          <w:szCs w:val="30"/>
        </w:rPr>
        <w:t>项目编号：               </w:t>
      </w:r>
    </w:p>
    <w:p>
      <w:pPr>
        <w:keepNext w:val="0"/>
        <w:keepLines w:val="0"/>
        <w:pageBreakBefore w:val="0"/>
        <w:widowControl/>
        <w:kinsoku/>
        <w:wordWrap/>
        <w:overflowPunct/>
        <w:topLinePunct w:val="0"/>
        <w:bidi w:val="0"/>
        <w:snapToGrid/>
        <w:spacing w:before="75" w:after="75" w:line="360" w:lineRule="auto"/>
        <w:ind w:firstLine="1260"/>
        <w:jc w:val="left"/>
        <w:textAlignment w:val="auto"/>
        <w:rPr>
          <w:rFonts w:ascii="宋体" w:hAnsi="宋体" w:eastAsia="宋体" w:cs="宋体"/>
          <w:color w:val="auto"/>
          <w:kern w:val="0"/>
          <w:sz w:val="30"/>
          <w:szCs w:val="30"/>
        </w:rPr>
      </w:pPr>
      <w:r>
        <w:rPr>
          <w:rFonts w:hint="eastAsia" w:ascii="宋体" w:hAnsi="宋体" w:eastAsia="宋体" w:cs="宋体"/>
          <w:b/>
          <w:bCs/>
          <w:color w:val="auto"/>
          <w:kern w:val="0"/>
          <w:sz w:val="30"/>
          <w:szCs w:val="30"/>
        </w:rPr>
        <w:t>合同包:                  </w:t>
      </w:r>
    </w:p>
    <w:p>
      <w:pPr>
        <w:keepNext w:val="0"/>
        <w:keepLines w:val="0"/>
        <w:pageBreakBefore w:val="0"/>
        <w:widowControl/>
        <w:kinsoku/>
        <w:wordWrap/>
        <w:overflowPunct/>
        <w:topLinePunct w:val="0"/>
        <w:bidi w:val="0"/>
        <w:snapToGrid/>
        <w:spacing w:before="75" w:after="75" w:line="360" w:lineRule="auto"/>
        <w:jc w:val="center"/>
        <w:textAlignment w:val="auto"/>
        <w:rPr>
          <w:rFonts w:ascii="宋体" w:hAnsi="宋体" w:eastAsia="宋体" w:cs="宋体"/>
          <w:color w:val="auto"/>
          <w:kern w:val="0"/>
          <w:sz w:val="30"/>
          <w:szCs w:val="30"/>
        </w:rPr>
      </w:pPr>
      <w:r>
        <w:rPr>
          <w:rFonts w:hint="eastAsia" w:ascii="宋体" w:hAnsi="宋体" w:eastAsia="宋体" w:cs="宋体"/>
          <w:b/>
          <w:bCs/>
          <w:color w:val="auto"/>
          <w:kern w:val="0"/>
          <w:sz w:val="30"/>
          <w:szCs w:val="30"/>
        </w:rPr>
        <w:t> </w:t>
      </w:r>
    </w:p>
    <w:p>
      <w:pPr>
        <w:keepNext w:val="0"/>
        <w:keepLines w:val="0"/>
        <w:pageBreakBefore w:val="0"/>
        <w:widowControl/>
        <w:kinsoku/>
        <w:wordWrap/>
        <w:overflowPunct/>
        <w:topLinePunct w:val="0"/>
        <w:bidi w:val="0"/>
        <w:snapToGrid/>
        <w:spacing w:before="75" w:after="75" w:line="360" w:lineRule="auto"/>
        <w:jc w:val="center"/>
        <w:textAlignment w:val="auto"/>
        <w:rPr>
          <w:rFonts w:ascii="宋体" w:hAnsi="宋体" w:eastAsia="宋体" w:cs="宋体"/>
          <w:color w:val="auto"/>
          <w:kern w:val="0"/>
          <w:sz w:val="30"/>
          <w:szCs w:val="30"/>
        </w:rPr>
      </w:pPr>
      <w:r>
        <w:rPr>
          <w:rFonts w:hint="eastAsia" w:ascii="宋体" w:hAnsi="宋体" w:eastAsia="宋体" w:cs="宋体"/>
          <w:b/>
          <w:bCs/>
          <w:color w:val="auto"/>
          <w:kern w:val="0"/>
          <w:sz w:val="30"/>
          <w:szCs w:val="30"/>
        </w:rPr>
        <w:t> </w:t>
      </w:r>
    </w:p>
    <w:p>
      <w:pPr>
        <w:keepNext w:val="0"/>
        <w:keepLines w:val="0"/>
        <w:pageBreakBefore w:val="0"/>
        <w:widowControl/>
        <w:kinsoku/>
        <w:wordWrap/>
        <w:overflowPunct/>
        <w:topLinePunct w:val="0"/>
        <w:bidi w:val="0"/>
        <w:snapToGrid/>
        <w:spacing w:before="75" w:after="75" w:line="360" w:lineRule="auto"/>
        <w:jc w:val="center"/>
        <w:textAlignment w:val="auto"/>
        <w:rPr>
          <w:rFonts w:ascii="宋体" w:hAnsi="宋体" w:eastAsia="宋体" w:cs="宋体"/>
          <w:color w:val="auto"/>
          <w:kern w:val="0"/>
          <w:sz w:val="30"/>
          <w:szCs w:val="30"/>
        </w:rPr>
      </w:pPr>
      <w:r>
        <w:rPr>
          <w:rFonts w:hint="eastAsia" w:ascii="宋体" w:hAnsi="宋体" w:eastAsia="宋体" w:cs="宋体"/>
          <w:b/>
          <w:bCs/>
          <w:color w:val="auto"/>
          <w:kern w:val="0"/>
          <w:sz w:val="30"/>
          <w:szCs w:val="30"/>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30"/>
          <w:szCs w:val="30"/>
        </w:rPr>
      </w:pPr>
      <w:r>
        <w:rPr>
          <w:rFonts w:hint="eastAsia" w:ascii="宋体" w:hAnsi="宋体" w:eastAsia="宋体" w:cs="宋体"/>
          <w:b/>
          <w:bCs/>
          <w:color w:val="auto"/>
          <w:kern w:val="0"/>
          <w:sz w:val="30"/>
          <w:szCs w:val="30"/>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30"/>
          <w:szCs w:val="30"/>
        </w:rPr>
      </w:pPr>
      <w:r>
        <w:rPr>
          <w:rFonts w:hint="eastAsia" w:ascii="宋体" w:hAnsi="宋体" w:eastAsia="宋体" w:cs="宋体"/>
          <w:b/>
          <w:bCs/>
          <w:color w:val="auto"/>
          <w:kern w:val="0"/>
          <w:sz w:val="30"/>
          <w:szCs w:val="30"/>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30"/>
          <w:szCs w:val="30"/>
        </w:rPr>
      </w:pPr>
      <w:r>
        <w:rPr>
          <w:rFonts w:hint="eastAsia" w:ascii="宋体" w:hAnsi="宋体" w:eastAsia="宋体" w:cs="宋体"/>
          <w:b/>
          <w:bCs/>
          <w:color w:val="auto"/>
          <w:kern w:val="0"/>
          <w:sz w:val="30"/>
          <w:szCs w:val="30"/>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30"/>
          <w:szCs w:val="30"/>
        </w:rPr>
      </w:pPr>
      <w:r>
        <w:rPr>
          <w:rFonts w:hint="eastAsia" w:ascii="宋体" w:hAnsi="宋体" w:eastAsia="宋体" w:cs="宋体"/>
          <w:b/>
          <w:bCs/>
          <w:color w:val="auto"/>
          <w:kern w:val="0"/>
          <w:sz w:val="30"/>
          <w:szCs w:val="30"/>
        </w:rPr>
        <w:t>      供应商名称 ：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30"/>
          <w:szCs w:val="30"/>
        </w:rPr>
        <w:t>      日    期 ： </w:t>
      </w:r>
      <w:r>
        <w:rPr>
          <w:rFonts w:hint="eastAsia" w:ascii="宋体" w:hAnsi="宋体" w:eastAsia="宋体" w:cs="宋体"/>
          <w:b/>
          <w:bCs/>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center"/>
        <w:textAlignment w:val="auto"/>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br w:type="textWrapping"/>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b/>
          <w:bCs/>
          <w:color w:val="auto"/>
          <w:kern w:val="0"/>
          <w:sz w:val="24"/>
          <w:szCs w:val="24"/>
        </w:rPr>
      </w:pPr>
    </w:p>
    <w:p>
      <w:pPr>
        <w:keepNext w:val="0"/>
        <w:keepLines w:val="0"/>
        <w:pageBreakBefore w:val="0"/>
        <w:kinsoku/>
        <w:wordWrap/>
        <w:overflowPunct/>
        <w:topLinePunct w:val="0"/>
        <w:bidi w:val="0"/>
        <w:snapToGrid/>
        <w:spacing w:line="360" w:lineRule="auto"/>
        <w:jc w:val="center"/>
        <w:textAlignment w:val="auto"/>
        <w:rPr>
          <w:rFonts w:ascii="宋体" w:hAnsi="宋体" w:eastAsia="宋体" w:cs="宋体"/>
          <w:color w:val="auto"/>
          <w:kern w:val="0"/>
          <w:sz w:val="28"/>
          <w:szCs w:val="28"/>
        </w:rPr>
      </w:pPr>
      <w:r>
        <w:rPr>
          <w:rFonts w:hint="eastAsia" w:ascii="宋体" w:hAnsi="宋体" w:eastAsia="宋体" w:cs="宋体"/>
          <w:b/>
          <w:bCs/>
          <w:color w:val="auto"/>
          <w:kern w:val="0"/>
          <w:sz w:val="28"/>
          <w:szCs w:val="28"/>
        </w:rPr>
        <w:t>目  录</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附件1：谈判响应声明</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附件2：报价一览表（含详细报价书）</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附件3：资格证明文件</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附件</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：技术、服务和商务响应表</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附件</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：相关技术、商务、服务响应承诺及资料</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附件</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：供应商提交符合政府采购政策的证明材料</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附件</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：要求作为响应文件组成部分的其他内容（若有）</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br w:type="textWrapping"/>
      </w:r>
    </w:p>
    <w:p>
      <w:pPr>
        <w:keepNext w:val="0"/>
        <w:keepLines w:val="0"/>
        <w:pageBreakBefore w:val="0"/>
        <w:kinsoku/>
        <w:wordWrap/>
        <w:overflowPunct/>
        <w:topLinePunct w:val="0"/>
        <w:bidi w:val="0"/>
        <w:snapToGrid/>
        <w:spacing w:line="360" w:lineRule="auto"/>
        <w:textAlignment w:val="auto"/>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br w:type="page"/>
      </w:r>
    </w:p>
    <w:p>
      <w:pPr>
        <w:keepNext w:val="0"/>
        <w:keepLines w:val="0"/>
        <w:pageBreakBefore w:val="0"/>
        <w:widowControl/>
        <w:kinsoku/>
        <w:wordWrap/>
        <w:overflowPunct/>
        <w:topLinePunct w:val="0"/>
        <w:bidi w:val="0"/>
        <w:snapToGrid/>
        <w:spacing w:before="75" w:after="75" w:line="360" w:lineRule="auto"/>
        <w:jc w:val="left"/>
        <w:textAlignment w:val="auto"/>
        <w:outlineLvl w:val="1"/>
        <w:rPr>
          <w:rFonts w:ascii="宋体" w:hAnsi="宋体" w:eastAsia="宋体" w:cs="宋体"/>
          <w:color w:val="auto"/>
          <w:kern w:val="0"/>
          <w:sz w:val="24"/>
          <w:szCs w:val="24"/>
        </w:rPr>
      </w:pPr>
      <w:r>
        <w:rPr>
          <w:rFonts w:hint="eastAsia" w:ascii="宋体" w:hAnsi="宋体" w:eastAsia="宋体" w:cs="宋体"/>
          <w:color w:val="auto"/>
          <w:kern w:val="0"/>
          <w:sz w:val="24"/>
          <w:szCs w:val="24"/>
        </w:rPr>
        <w:t>附件1            </w:t>
      </w:r>
    </w:p>
    <w:p>
      <w:pPr>
        <w:keepNext w:val="0"/>
        <w:keepLines w:val="0"/>
        <w:pageBreakBefore w:val="0"/>
        <w:widowControl/>
        <w:kinsoku/>
        <w:wordWrap/>
        <w:overflowPunct/>
        <w:topLinePunct w:val="0"/>
        <w:bidi w:val="0"/>
        <w:snapToGrid/>
        <w:spacing w:before="75" w:after="75" w:line="360" w:lineRule="auto"/>
        <w:jc w:val="center"/>
        <w:textAlignment w:val="auto"/>
        <w:outlineLvl w:val="1"/>
        <w:rPr>
          <w:rFonts w:ascii="宋体" w:hAnsi="宋体" w:eastAsia="宋体" w:cs="宋体"/>
          <w:color w:val="auto"/>
          <w:kern w:val="0"/>
          <w:sz w:val="28"/>
          <w:szCs w:val="28"/>
        </w:rPr>
      </w:pPr>
      <w:r>
        <w:rPr>
          <w:rFonts w:hint="eastAsia" w:ascii="宋体" w:hAnsi="宋体" w:eastAsia="宋体" w:cs="宋体"/>
          <w:b/>
          <w:bCs/>
          <w:color w:val="auto"/>
          <w:kern w:val="0"/>
          <w:sz w:val="28"/>
          <w:szCs w:val="28"/>
        </w:rPr>
        <w:t>谈判响应声明</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致：(采购人或采购代理机构)       </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1.根据贵方为   项目（项目编号:   ）的采购公告（或采购邀请书），我方签字代表    （全名、职务）   经正式授权并代表的供应商       （供应商名称、地址）提交包含下述内容的首次响应文件纸质文本正本   套，副本  套及电子文档  套。</w:t>
      </w:r>
    </w:p>
    <w:p>
      <w:pPr>
        <w:keepNext w:val="0"/>
        <w:keepLines w:val="0"/>
        <w:pageBreakBefore w:val="0"/>
        <w:widowControl/>
        <w:kinsoku/>
        <w:wordWrap/>
        <w:overflowPunct/>
        <w:topLinePunct w:val="0"/>
        <w:bidi w:val="0"/>
        <w:snapToGrid/>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（1）谈判响应声明</w:t>
      </w:r>
    </w:p>
    <w:p>
      <w:pPr>
        <w:keepNext w:val="0"/>
        <w:keepLines w:val="0"/>
        <w:pageBreakBefore w:val="0"/>
        <w:widowControl/>
        <w:kinsoku/>
        <w:wordWrap/>
        <w:overflowPunct/>
        <w:topLinePunct w:val="0"/>
        <w:bidi w:val="0"/>
        <w:snapToGrid/>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（2）报价一览表（含详细报价书）</w:t>
      </w:r>
    </w:p>
    <w:p>
      <w:pPr>
        <w:keepNext w:val="0"/>
        <w:keepLines w:val="0"/>
        <w:pageBreakBefore w:val="0"/>
        <w:widowControl/>
        <w:kinsoku/>
        <w:wordWrap/>
        <w:overflowPunct/>
        <w:topLinePunct w:val="0"/>
        <w:bidi w:val="0"/>
        <w:snapToGrid/>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（3）资格证明文件</w:t>
      </w:r>
    </w:p>
    <w:p>
      <w:pPr>
        <w:keepNext w:val="0"/>
        <w:keepLines w:val="0"/>
        <w:pageBreakBefore w:val="0"/>
        <w:widowControl/>
        <w:kinsoku/>
        <w:wordWrap/>
        <w:overflowPunct/>
        <w:topLinePunct w:val="0"/>
        <w:bidi w:val="0"/>
        <w:snapToGrid/>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）技术、服务和商务响应表</w:t>
      </w:r>
    </w:p>
    <w:p>
      <w:pPr>
        <w:keepNext w:val="0"/>
        <w:keepLines w:val="0"/>
        <w:pageBreakBefore w:val="0"/>
        <w:widowControl/>
        <w:kinsoku/>
        <w:wordWrap/>
        <w:overflowPunct/>
        <w:topLinePunct w:val="0"/>
        <w:bidi w:val="0"/>
        <w:snapToGrid/>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）相关技术、商务、服务响应承诺及资料</w:t>
      </w:r>
    </w:p>
    <w:p>
      <w:pPr>
        <w:keepNext w:val="0"/>
        <w:keepLines w:val="0"/>
        <w:pageBreakBefore w:val="0"/>
        <w:widowControl/>
        <w:kinsoku/>
        <w:wordWrap/>
        <w:overflowPunct/>
        <w:topLinePunct w:val="0"/>
        <w:bidi w:val="0"/>
        <w:snapToGrid/>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）供应商提交符合政府采购政策的证明材料</w:t>
      </w:r>
    </w:p>
    <w:p>
      <w:pPr>
        <w:keepNext w:val="0"/>
        <w:keepLines w:val="0"/>
        <w:pageBreakBefore w:val="0"/>
        <w:widowControl/>
        <w:kinsoku/>
        <w:wordWrap/>
        <w:overflowPunct/>
        <w:topLinePunct w:val="0"/>
        <w:bidi w:val="0"/>
        <w:snapToGrid/>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）按照谈判文件规定，要求作为响应文件组成部分的其他内容（若有）</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2.据此函，我方宣布响应承诺如下：</w:t>
      </w:r>
    </w:p>
    <w:p>
      <w:pPr>
        <w:keepNext w:val="0"/>
        <w:keepLines w:val="0"/>
        <w:pageBreakBefore w:val="0"/>
        <w:widowControl/>
        <w:kinsoku/>
        <w:wordWrap/>
        <w:overflowPunct/>
        <w:topLinePunct w:val="0"/>
        <w:bidi w:val="0"/>
        <w:snapToGrid/>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我方愿意向贵方提供任何与本项目谈判采购有关的数据或资料。若贵方需要，我方愿意提供我方作出的一切承诺的证明材料。</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2"/>
        <w:keepNext w:val="0"/>
        <w:keepLines w:val="0"/>
        <w:pageBreakBefore w:val="0"/>
        <w:kinsoku/>
        <w:wordWrap/>
        <w:overflowPunct/>
        <w:topLinePunct w:val="0"/>
        <w:bidi w:val="0"/>
        <w:snapToGrid/>
        <w:spacing w:line="360" w:lineRule="auto"/>
        <w:textAlignment w:val="auto"/>
        <w:rPr>
          <w:color w:val="auto"/>
        </w:rPr>
      </w:pP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通信地址：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邮编：            传真号：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联系电话（固定电话和移动电话）：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供应商代表：     （签字）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供应商代表电子信箱：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         （全称并加盖公章）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日  期：     年    月    日</w:t>
      </w:r>
    </w:p>
    <w:p>
      <w:pPr>
        <w:keepNext w:val="0"/>
        <w:keepLines w:val="0"/>
        <w:pageBreakBefore w:val="0"/>
        <w:widowControl/>
        <w:kinsoku/>
        <w:wordWrap/>
        <w:overflowPunct/>
        <w:topLinePunct w:val="0"/>
        <w:bidi w:val="0"/>
        <w:snapToGrid/>
        <w:spacing w:before="75" w:after="75" w:line="360" w:lineRule="auto"/>
        <w:textAlignment w:val="auto"/>
        <w:outlineLvl w:val="1"/>
        <w:rPr>
          <w:rFonts w:ascii="宋体" w:hAnsi="宋体" w:eastAsia="宋体" w:cs="宋体"/>
          <w:color w:val="auto"/>
          <w:kern w:val="0"/>
          <w:sz w:val="29"/>
          <w:szCs w:val="29"/>
        </w:rPr>
      </w:pPr>
      <w:r>
        <w:rPr>
          <w:rFonts w:hint="eastAsia" w:ascii="宋体" w:hAnsi="宋体" w:eastAsia="宋体" w:cs="宋体"/>
          <w:color w:val="auto"/>
          <w:kern w:val="0"/>
          <w:sz w:val="24"/>
          <w:szCs w:val="24"/>
        </w:rPr>
        <w:t>附件2</w:t>
      </w:r>
      <w:r>
        <w:rPr>
          <w:rFonts w:hint="eastAsia" w:ascii="宋体" w:hAnsi="宋体" w:eastAsia="宋体" w:cs="宋体"/>
          <w:color w:val="auto"/>
          <w:kern w:val="0"/>
          <w:sz w:val="29"/>
          <w:szCs w:val="29"/>
        </w:rPr>
        <w:t>    </w:t>
      </w:r>
    </w:p>
    <w:p>
      <w:pPr>
        <w:keepNext w:val="0"/>
        <w:keepLines w:val="0"/>
        <w:pageBreakBefore w:val="0"/>
        <w:widowControl/>
        <w:kinsoku/>
        <w:wordWrap/>
        <w:overflowPunct/>
        <w:topLinePunct w:val="0"/>
        <w:bidi w:val="0"/>
        <w:snapToGrid/>
        <w:spacing w:before="75" w:after="75" w:line="360" w:lineRule="auto"/>
        <w:jc w:val="center"/>
        <w:textAlignment w:val="auto"/>
        <w:outlineLvl w:val="1"/>
        <w:rPr>
          <w:rFonts w:hint="eastAsia" w:ascii="宋体" w:hAnsi="宋体" w:eastAsia="宋体" w:cs="宋体"/>
          <w:b/>
          <w:bCs/>
          <w:color w:val="auto"/>
          <w:kern w:val="0"/>
          <w:sz w:val="28"/>
          <w:szCs w:val="28"/>
        </w:rPr>
      </w:pPr>
    </w:p>
    <w:p>
      <w:pPr>
        <w:keepNext w:val="0"/>
        <w:keepLines w:val="0"/>
        <w:pageBreakBefore w:val="0"/>
        <w:widowControl/>
        <w:kinsoku/>
        <w:wordWrap/>
        <w:overflowPunct/>
        <w:topLinePunct w:val="0"/>
        <w:bidi w:val="0"/>
        <w:snapToGrid/>
        <w:spacing w:before="75" w:after="75" w:line="360" w:lineRule="auto"/>
        <w:jc w:val="center"/>
        <w:textAlignment w:val="auto"/>
        <w:outlineLvl w:val="1"/>
        <w:rPr>
          <w:rFonts w:hint="eastAsia" w:ascii="宋体" w:hAnsi="宋体" w:eastAsia="宋体" w:cs="宋体"/>
          <w:b/>
          <w:bCs/>
          <w:color w:val="auto"/>
          <w:kern w:val="0"/>
          <w:sz w:val="28"/>
          <w:szCs w:val="28"/>
        </w:rPr>
      </w:pPr>
    </w:p>
    <w:p>
      <w:pPr>
        <w:keepNext w:val="0"/>
        <w:keepLines w:val="0"/>
        <w:pageBreakBefore w:val="0"/>
        <w:widowControl/>
        <w:kinsoku/>
        <w:wordWrap/>
        <w:overflowPunct/>
        <w:topLinePunct w:val="0"/>
        <w:bidi w:val="0"/>
        <w:snapToGrid/>
        <w:spacing w:before="75" w:after="75" w:line="360" w:lineRule="auto"/>
        <w:jc w:val="center"/>
        <w:textAlignment w:val="auto"/>
        <w:outlineLvl w:val="1"/>
        <w:rPr>
          <w:rFonts w:hint="eastAsia" w:ascii="宋体" w:hAnsi="宋体" w:eastAsia="宋体" w:cs="宋体"/>
          <w:b/>
          <w:bCs/>
          <w:color w:val="auto"/>
          <w:kern w:val="0"/>
          <w:sz w:val="28"/>
          <w:szCs w:val="28"/>
        </w:rPr>
      </w:pPr>
    </w:p>
    <w:p>
      <w:pPr>
        <w:keepNext w:val="0"/>
        <w:keepLines w:val="0"/>
        <w:pageBreakBefore w:val="0"/>
        <w:widowControl/>
        <w:kinsoku/>
        <w:wordWrap/>
        <w:overflowPunct/>
        <w:topLinePunct w:val="0"/>
        <w:bidi w:val="0"/>
        <w:snapToGrid/>
        <w:spacing w:before="75" w:after="75" w:line="360" w:lineRule="auto"/>
        <w:jc w:val="center"/>
        <w:textAlignment w:val="auto"/>
        <w:outlineLvl w:val="1"/>
        <w:rPr>
          <w:rFonts w:ascii="宋体" w:hAnsi="宋体" w:eastAsia="宋体" w:cs="宋体"/>
          <w:color w:val="auto"/>
          <w:kern w:val="0"/>
          <w:sz w:val="24"/>
          <w:szCs w:val="24"/>
        </w:rPr>
      </w:pPr>
      <w:r>
        <w:rPr>
          <w:rFonts w:hint="eastAsia" w:ascii="宋体" w:hAnsi="宋体" w:eastAsia="宋体" w:cs="宋体"/>
          <w:b/>
          <w:bCs/>
          <w:color w:val="auto"/>
          <w:kern w:val="0"/>
          <w:sz w:val="28"/>
          <w:szCs w:val="28"/>
        </w:rPr>
        <w:t>报价一览表</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供应商名称：（全称加盖单位公章）</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项目编号∶     货币单位：元人民币</w:t>
      </w:r>
    </w:p>
    <w:tbl>
      <w:tblPr>
        <w:tblStyle w:val="10"/>
        <w:tblW w:w="8169"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65"/>
        <w:gridCol w:w="3696"/>
        <w:gridCol w:w="2308"/>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合同包</w:t>
            </w:r>
          </w:p>
        </w:tc>
        <w:tc>
          <w:tcPr>
            <w:tcW w:w="366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首次报价</w:t>
            </w:r>
          </w:p>
        </w:tc>
        <w:tc>
          <w:tcPr>
            <w:tcW w:w="2278"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交货期/工期/项目完成时间/服务时间</w:t>
            </w:r>
          </w:p>
        </w:tc>
        <w:tc>
          <w:tcPr>
            <w:tcW w:w="1055"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366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278"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055"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366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278"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055"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366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278"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055"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366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278"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055"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366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278"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055"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bl>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备注：详细报价书另纸详列，格式自拟。</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righ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供应商代表：             （签字）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36"/>
          <w:szCs w:val="36"/>
        </w:rPr>
      </w:pPr>
      <w:r>
        <w:rPr>
          <w:rFonts w:hint="eastAsia" w:ascii="宋体" w:hAnsi="宋体" w:eastAsia="宋体" w:cs="宋体"/>
          <w:color w:val="auto"/>
          <w:kern w:val="0"/>
          <w:sz w:val="24"/>
          <w:szCs w:val="24"/>
        </w:rPr>
        <w:t>附件2-1       </w:t>
      </w:r>
      <w:r>
        <w:rPr>
          <w:rFonts w:hint="eastAsia" w:ascii="宋体" w:hAnsi="宋体" w:eastAsia="宋体" w:cs="宋体"/>
          <w:color w:val="auto"/>
          <w:kern w:val="0"/>
          <w:sz w:val="36"/>
          <w:szCs w:val="36"/>
        </w:rPr>
        <w:t> </w:t>
      </w:r>
    </w:p>
    <w:p>
      <w:pPr>
        <w:keepNext w:val="0"/>
        <w:keepLines w:val="0"/>
        <w:pageBreakBefore w:val="0"/>
        <w:widowControl/>
        <w:kinsoku/>
        <w:wordWrap/>
        <w:overflowPunct/>
        <w:topLinePunct w:val="0"/>
        <w:bidi w:val="0"/>
        <w:snapToGrid/>
        <w:spacing w:before="75" w:after="75" w:line="360" w:lineRule="auto"/>
        <w:jc w:val="center"/>
        <w:textAlignment w:val="auto"/>
        <w:rPr>
          <w:rFonts w:ascii="宋体" w:hAnsi="宋体" w:eastAsia="宋体" w:cs="宋体"/>
          <w:color w:val="auto"/>
          <w:kern w:val="0"/>
          <w:sz w:val="24"/>
          <w:szCs w:val="24"/>
        </w:rPr>
      </w:pPr>
      <w:r>
        <w:rPr>
          <w:rFonts w:hint="eastAsia" w:ascii="宋体" w:hAnsi="宋体" w:eastAsia="宋体" w:cs="宋体"/>
          <w:b/>
          <w:bCs/>
          <w:color w:val="auto"/>
          <w:kern w:val="0"/>
          <w:sz w:val="28"/>
          <w:szCs w:val="28"/>
        </w:rPr>
        <w:t>详细报价书</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说明：</w:t>
      </w:r>
    </w:p>
    <w:p>
      <w:pPr>
        <w:keepNext w:val="0"/>
        <w:keepLines w:val="0"/>
        <w:pageBreakBefore w:val="0"/>
        <w:widowControl/>
        <w:kinsoku/>
        <w:wordWrap/>
        <w:overflowPunct/>
        <w:topLinePunct w:val="0"/>
        <w:bidi w:val="0"/>
        <w:snapToGrid/>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各供应商应根据竞争性谈判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keepNext w:val="0"/>
        <w:keepLines w:val="0"/>
        <w:pageBreakBefore w:val="0"/>
        <w:widowControl/>
        <w:kinsoku/>
        <w:wordWrap/>
        <w:overflowPunct/>
        <w:topLinePunct w:val="0"/>
        <w:bidi w:val="0"/>
        <w:snapToGrid/>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keepNext w:val="0"/>
        <w:keepLines w:val="0"/>
        <w:pageBreakBefore w:val="0"/>
        <w:widowControl/>
        <w:kinsoku/>
        <w:wordWrap/>
        <w:overflowPunct/>
        <w:topLinePunct w:val="0"/>
        <w:bidi w:val="0"/>
        <w:snapToGrid/>
        <w:spacing w:before="75" w:after="75" w:line="360" w:lineRule="auto"/>
        <w:ind w:firstLine="48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供应商代表：          （签字）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供应商名称：       （全称并加盖公章）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日  期：     年    月    日</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kinsoku/>
        <w:wordWrap/>
        <w:overflowPunct/>
        <w:topLinePunct w:val="0"/>
        <w:bidi w:val="0"/>
        <w:snapToGrid/>
        <w:spacing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br w:type="page"/>
      </w:r>
    </w:p>
    <w:p>
      <w:pPr>
        <w:keepNext w:val="0"/>
        <w:keepLines w:val="0"/>
        <w:pageBreakBefore w:val="0"/>
        <w:widowControl/>
        <w:kinsoku/>
        <w:wordWrap/>
        <w:overflowPunct/>
        <w:topLinePunct w:val="0"/>
        <w:bidi w:val="0"/>
        <w:snapToGrid/>
        <w:spacing w:before="75" w:after="75" w:line="360" w:lineRule="auto"/>
        <w:jc w:val="left"/>
        <w:textAlignment w:val="auto"/>
        <w:outlineLvl w:val="1"/>
        <w:rPr>
          <w:rFonts w:ascii="宋体" w:hAnsi="宋体" w:eastAsia="宋体" w:cs="宋体"/>
          <w:color w:val="auto"/>
          <w:kern w:val="0"/>
          <w:sz w:val="24"/>
          <w:szCs w:val="24"/>
        </w:rPr>
      </w:pPr>
      <w:r>
        <w:rPr>
          <w:rFonts w:hint="eastAsia" w:ascii="宋体" w:hAnsi="宋体" w:eastAsia="宋体" w:cs="宋体"/>
          <w:color w:val="auto"/>
          <w:kern w:val="0"/>
          <w:sz w:val="24"/>
          <w:szCs w:val="24"/>
        </w:rPr>
        <w:t>附件3         </w:t>
      </w:r>
    </w:p>
    <w:p>
      <w:pPr>
        <w:keepNext w:val="0"/>
        <w:keepLines w:val="0"/>
        <w:pageBreakBefore w:val="0"/>
        <w:widowControl/>
        <w:kinsoku/>
        <w:wordWrap/>
        <w:overflowPunct/>
        <w:topLinePunct w:val="0"/>
        <w:bidi w:val="0"/>
        <w:snapToGrid/>
        <w:spacing w:before="75" w:after="75" w:line="360" w:lineRule="auto"/>
        <w:jc w:val="center"/>
        <w:textAlignment w:val="auto"/>
        <w:outlineLvl w:val="1"/>
        <w:rPr>
          <w:rFonts w:ascii="宋体" w:hAnsi="宋体" w:eastAsia="宋体" w:cs="宋体"/>
          <w:color w:val="auto"/>
          <w:kern w:val="0"/>
          <w:sz w:val="24"/>
          <w:szCs w:val="24"/>
        </w:rPr>
      </w:pPr>
      <w:r>
        <w:rPr>
          <w:rFonts w:hint="eastAsia" w:ascii="宋体" w:hAnsi="宋体" w:eastAsia="宋体" w:cs="宋体"/>
          <w:b/>
          <w:bCs/>
          <w:color w:val="auto"/>
          <w:kern w:val="0"/>
          <w:sz w:val="28"/>
          <w:szCs w:val="28"/>
        </w:rPr>
        <w:t>资格证明文件</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附件3-1       </w:t>
      </w:r>
    </w:p>
    <w:p>
      <w:pPr>
        <w:keepNext w:val="0"/>
        <w:keepLines w:val="0"/>
        <w:pageBreakBefore w:val="0"/>
        <w:widowControl/>
        <w:kinsoku/>
        <w:wordWrap/>
        <w:overflowPunct/>
        <w:topLinePunct w:val="0"/>
        <w:bidi w:val="0"/>
        <w:snapToGrid/>
        <w:spacing w:before="75" w:after="75" w:line="360" w:lineRule="auto"/>
        <w:jc w:val="center"/>
        <w:textAlignment w:val="auto"/>
        <w:rPr>
          <w:rFonts w:ascii="宋体" w:hAnsi="宋体" w:eastAsia="宋体" w:cs="宋体"/>
          <w:color w:val="auto"/>
          <w:kern w:val="0"/>
          <w:sz w:val="24"/>
          <w:szCs w:val="24"/>
        </w:rPr>
      </w:pPr>
      <w:r>
        <w:rPr>
          <w:rFonts w:hint="eastAsia" w:ascii="宋体" w:hAnsi="宋体" w:eastAsia="宋体" w:cs="宋体"/>
          <w:b/>
          <w:bCs/>
          <w:color w:val="auto"/>
          <w:kern w:val="0"/>
          <w:sz w:val="28"/>
          <w:szCs w:val="28"/>
        </w:rPr>
        <w:t>参加竞争性谈判的声明函</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致：(采购人或采购代理机构)        </w:t>
      </w:r>
    </w:p>
    <w:p>
      <w:pPr>
        <w:keepNext w:val="0"/>
        <w:keepLines w:val="0"/>
        <w:pageBreakBefore w:val="0"/>
        <w:widowControl/>
        <w:kinsoku/>
        <w:wordWrap/>
        <w:overflowPunct/>
        <w:topLinePunct w:val="0"/>
        <w:bidi w:val="0"/>
        <w:snapToGrid/>
        <w:spacing w:before="75" w:after="75" w:line="360"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1、关于贵方______年______月______日      项目（项目编号:       ）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numPr>
          <w:ilvl w:val="0"/>
          <w:numId w:val="8"/>
        </w:numPr>
        <w:kinsoku/>
        <w:wordWrap/>
        <w:overflowPunct/>
        <w:topLinePunct w:val="0"/>
        <w:bidi w:val="0"/>
        <w:snapToGrid/>
        <w:spacing w:before="75" w:after="75" w:line="360" w:lineRule="auto"/>
        <w:ind w:left="479" w:leftChars="228"/>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供应商的基本概况：</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2.1供应商单位名称：             </w:t>
      </w:r>
    </w:p>
    <w:p>
      <w:pPr>
        <w:keepNext w:val="0"/>
        <w:keepLines w:val="0"/>
        <w:pageBreakBefore w:val="0"/>
        <w:widowControl/>
        <w:kinsoku/>
        <w:wordWrap/>
        <w:overflowPunct/>
        <w:topLinePunct w:val="0"/>
        <w:bidi w:val="0"/>
        <w:snapToGrid/>
        <w:spacing w:before="75" w:after="75" w:line="360" w:lineRule="auto"/>
        <w:ind w:left="479" w:leftChars="228"/>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2.2注册地址：            </w:t>
      </w:r>
    </w:p>
    <w:p>
      <w:pPr>
        <w:keepNext w:val="0"/>
        <w:keepLines w:val="0"/>
        <w:pageBreakBefore w:val="0"/>
        <w:widowControl/>
        <w:kinsoku/>
        <w:wordWrap/>
        <w:overflowPunct/>
        <w:topLinePunct w:val="0"/>
        <w:bidi w:val="0"/>
        <w:snapToGrid/>
        <w:spacing w:before="75" w:after="75" w:line="360" w:lineRule="auto"/>
        <w:ind w:left="479" w:leftChars="228"/>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2.3单位负责人姓名：    性别：  年龄：   职务：      。</w:t>
      </w:r>
    </w:p>
    <w:p>
      <w:pPr>
        <w:keepNext w:val="0"/>
        <w:keepLines w:val="0"/>
        <w:pageBreakBefore w:val="0"/>
        <w:widowControl/>
        <w:kinsoku/>
        <w:wordWrap/>
        <w:overflowPunct/>
        <w:topLinePunct w:val="0"/>
        <w:bidi w:val="0"/>
        <w:snapToGrid/>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备注：“单位负责人”指单位法定代表人（供应商为法人的）或法律、法规规定代表单位行使职权的主要负责人（供应商为其他组织的）。</w:t>
      </w:r>
    </w:p>
    <w:p>
      <w:pPr>
        <w:keepNext w:val="0"/>
        <w:keepLines w:val="0"/>
        <w:pageBreakBefore w:val="0"/>
        <w:widowControl/>
        <w:kinsoku/>
        <w:wordWrap/>
        <w:overflowPunct/>
        <w:topLinePunct w:val="0"/>
        <w:bidi w:val="0"/>
        <w:snapToGrid/>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对于接受联合体形式的谈判且供应商是联合体的，则联合体各成员都应当提交本资格证明文件。</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供应商代表：          （签字）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供应商名称：       （全称并加盖公章）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日  期：     年    月    日</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附件3-2        </w:t>
      </w:r>
    </w:p>
    <w:p>
      <w:pPr>
        <w:keepNext w:val="0"/>
        <w:keepLines w:val="0"/>
        <w:pageBreakBefore w:val="0"/>
        <w:widowControl/>
        <w:kinsoku/>
        <w:wordWrap/>
        <w:overflowPunct/>
        <w:topLinePunct w:val="0"/>
        <w:bidi w:val="0"/>
        <w:snapToGrid/>
        <w:spacing w:before="75" w:after="75" w:line="360" w:lineRule="auto"/>
        <w:jc w:val="center"/>
        <w:textAlignment w:val="auto"/>
        <w:outlineLvl w:val="1"/>
        <w:rPr>
          <w:rFonts w:ascii="宋体" w:hAnsi="宋体" w:eastAsia="宋体" w:cs="宋体"/>
          <w:color w:val="auto"/>
          <w:kern w:val="0"/>
          <w:sz w:val="24"/>
          <w:szCs w:val="24"/>
        </w:rPr>
      </w:pPr>
      <w:r>
        <w:rPr>
          <w:rFonts w:hint="eastAsia" w:ascii="宋体" w:hAnsi="宋体" w:eastAsia="宋体" w:cs="宋体"/>
          <w:b/>
          <w:bCs/>
          <w:color w:val="auto"/>
          <w:kern w:val="0"/>
          <w:sz w:val="28"/>
          <w:szCs w:val="28"/>
        </w:rPr>
        <w:t>供应商的资格声明</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致：(采购人或采购代理机构)       </w:t>
      </w:r>
    </w:p>
    <w:p>
      <w:pPr>
        <w:keepNext w:val="0"/>
        <w:keepLines w:val="0"/>
        <w:pageBreakBefore w:val="0"/>
        <w:widowControl/>
        <w:kinsoku/>
        <w:wordWrap/>
        <w:overflowPunct/>
        <w:topLinePunct w:val="0"/>
        <w:bidi w:val="0"/>
        <w:snapToGrid/>
        <w:spacing w:before="75" w:after="75" w:line="360"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1、我方已知晓竞争性谈判文件要求并认真审核自身情况，在此郑重声明，我方具备并满足下列各项条款的规定。本声明如有虚假或不实之处，我方将失去合格供应商资格。</w:t>
      </w:r>
    </w:p>
    <w:tbl>
      <w:tblPr>
        <w:tblStyle w:val="10"/>
        <w:tblW w:w="852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25"/>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《中华人民共和国政府采购法》第二十二条对供应商的要求</w:t>
            </w:r>
          </w:p>
        </w:tc>
        <w:tc>
          <w:tcPr>
            <w:tcW w:w="285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供应商对是否符合要求做如实声明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（1）具有独立承担民事责任的能力</w:t>
            </w:r>
          </w:p>
        </w:tc>
        <w:tc>
          <w:tcPr>
            <w:tcW w:w="285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（2）具有良好的商业信誉和健全的财务会计制度</w:t>
            </w:r>
          </w:p>
        </w:tc>
        <w:tc>
          <w:tcPr>
            <w:tcW w:w="285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（3）具有履行合同所必需的设备和专业技术能力</w:t>
            </w:r>
          </w:p>
        </w:tc>
        <w:tc>
          <w:tcPr>
            <w:tcW w:w="285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（4）有依法缴纳税收和社会保障资金的良好记录</w:t>
            </w:r>
          </w:p>
        </w:tc>
        <w:tc>
          <w:tcPr>
            <w:tcW w:w="285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（5）参加政府采购活动前三年内，在经营活动中没有重大违法记录</w:t>
            </w:r>
          </w:p>
        </w:tc>
        <w:tc>
          <w:tcPr>
            <w:tcW w:w="285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（6）法律、行政法规规定的其他条件。</w:t>
            </w:r>
          </w:p>
        </w:tc>
        <w:tc>
          <w:tcPr>
            <w:tcW w:w="285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谈判文件对合格供应商的一般规定</w:t>
            </w:r>
          </w:p>
        </w:tc>
        <w:tc>
          <w:tcPr>
            <w:tcW w:w="285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供应商对是否违反一般规定做如实声明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供应商应当遵守中国的有关法律、法规和规章的规定，参加政府采购活动时已经自觉检查并按照政府采购相关法律规定，主动回避相应利害关系。</w:t>
            </w:r>
          </w:p>
        </w:tc>
        <w:tc>
          <w:tcPr>
            <w:tcW w:w="285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为采购项目提供整体设计、规范编制或项目管理、监理、检测等服务的供应商，不得再参加该采购项目除整体设计、规范编制和项目管理、监理、检测等服务之外的其他采购活动。</w:t>
            </w:r>
          </w:p>
        </w:tc>
        <w:tc>
          <w:tcPr>
            <w:tcW w:w="285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列入失信被执行人、重大税收违法案件当事人名单、政府采购严重违法失信行为记录名单的供应商，不得参加政府采购活动。</w:t>
            </w:r>
          </w:p>
        </w:tc>
        <w:tc>
          <w:tcPr>
            <w:tcW w:w="285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bl>
    <w:p>
      <w:pPr>
        <w:keepNext w:val="0"/>
        <w:keepLines w:val="0"/>
        <w:pageBreakBefore w:val="0"/>
        <w:widowControl/>
        <w:kinsoku/>
        <w:wordWrap/>
        <w:overflowPunct/>
        <w:topLinePunct w:val="0"/>
        <w:bidi w:val="0"/>
        <w:snapToGrid/>
        <w:spacing w:before="75" w:after="75" w:line="360" w:lineRule="auto"/>
        <w:ind w:firstLine="48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2、我方对上述声明的真实性、合法性、准确性、有效性负责，并愿意根据谈判文件和谈判过程中贵方要求提供全部现有资料、数据、文件等予以证实。</w:t>
      </w:r>
    </w:p>
    <w:p>
      <w:pPr>
        <w:keepNext w:val="0"/>
        <w:keepLines w:val="0"/>
        <w:pageBreakBefore w:val="0"/>
        <w:widowControl/>
        <w:kinsoku/>
        <w:wordWrap/>
        <w:overflowPunct/>
        <w:topLinePunct w:val="0"/>
        <w:bidi w:val="0"/>
        <w:snapToGrid/>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备注：对于接受联合体形式的谈判且供应商是联合体的，则联合体各成员都应当提交本资格证明文件。</w:t>
      </w:r>
    </w:p>
    <w:p>
      <w:pPr>
        <w:pStyle w:val="2"/>
        <w:keepNext w:val="0"/>
        <w:keepLines w:val="0"/>
        <w:pageBreakBefore w:val="0"/>
        <w:kinsoku/>
        <w:wordWrap/>
        <w:overflowPunct/>
        <w:topLinePunct w:val="0"/>
        <w:bidi w:val="0"/>
        <w:snapToGrid/>
        <w:spacing w:line="360" w:lineRule="auto"/>
        <w:textAlignment w:val="auto"/>
        <w:rPr>
          <w:rFonts w:ascii="宋体" w:hAnsi="宋体" w:cs="宋体"/>
          <w:color w:val="auto"/>
        </w:rPr>
      </w:pPr>
    </w:p>
    <w:p>
      <w:pPr>
        <w:pStyle w:val="2"/>
        <w:keepNext w:val="0"/>
        <w:keepLines w:val="0"/>
        <w:pageBreakBefore w:val="0"/>
        <w:kinsoku/>
        <w:wordWrap/>
        <w:overflowPunct/>
        <w:topLinePunct w:val="0"/>
        <w:bidi w:val="0"/>
        <w:snapToGrid/>
        <w:spacing w:line="360" w:lineRule="auto"/>
        <w:textAlignment w:val="auto"/>
        <w:rPr>
          <w:rFonts w:ascii="宋体" w:hAnsi="宋体" w:cs="宋体"/>
          <w:color w:val="auto"/>
        </w:rPr>
      </w:pPr>
    </w:p>
    <w:p>
      <w:pPr>
        <w:pStyle w:val="2"/>
        <w:keepNext w:val="0"/>
        <w:keepLines w:val="0"/>
        <w:pageBreakBefore w:val="0"/>
        <w:kinsoku/>
        <w:wordWrap/>
        <w:overflowPunct/>
        <w:topLinePunct w:val="0"/>
        <w:bidi w:val="0"/>
        <w:snapToGrid/>
        <w:spacing w:line="360" w:lineRule="auto"/>
        <w:textAlignment w:val="auto"/>
        <w:rPr>
          <w:rFonts w:ascii="宋体" w:hAnsi="宋体" w:cs="宋体"/>
          <w:color w:val="auto"/>
        </w:rPr>
      </w:pPr>
    </w:p>
    <w:p>
      <w:pPr>
        <w:pStyle w:val="2"/>
        <w:keepNext w:val="0"/>
        <w:keepLines w:val="0"/>
        <w:pageBreakBefore w:val="0"/>
        <w:kinsoku/>
        <w:wordWrap/>
        <w:overflowPunct/>
        <w:topLinePunct w:val="0"/>
        <w:bidi w:val="0"/>
        <w:snapToGrid/>
        <w:spacing w:line="360" w:lineRule="auto"/>
        <w:textAlignment w:val="auto"/>
        <w:rPr>
          <w:rFonts w:ascii="宋体" w:hAnsi="宋体" w:cs="宋体"/>
          <w:color w:val="auto"/>
        </w:rPr>
      </w:pP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供应商代表：          （签字）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供应商名称：       （全称并加盖公章）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日  期：     年    月    日</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p>
    <w:p>
      <w:pPr>
        <w:keepNext w:val="0"/>
        <w:keepLines w:val="0"/>
        <w:pageBreakBefore w:val="0"/>
        <w:kinsoku/>
        <w:wordWrap/>
        <w:overflowPunct/>
        <w:topLinePunct w:val="0"/>
        <w:bidi w:val="0"/>
        <w:snapToGrid/>
        <w:spacing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br w:type="page"/>
      </w:r>
    </w:p>
    <w:p>
      <w:pPr>
        <w:keepNext w:val="0"/>
        <w:keepLines w:val="0"/>
        <w:pageBreakBefore w:val="0"/>
        <w:widowControl/>
        <w:kinsoku/>
        <w:wordWrap/>
        <w:overflowPunct/>
        <w:topLinePunct w:val="0"/>
        <w:bidi w:val="0"/>
        <w:snapToGrid/>
        <w:spacing w:before="75" w:after="75" w:line="360" w:lineRule="auto"/>
        <w:jc w:val="left"/>
        <w:textAlignment w:val="auto"/>
        <w:outlineLvl w:val="1"/>
        <w:rPr>
          <w:rFonts w:ascii="宋体" w:hAnsi="宋体" w:eastAsia="宋体" w:cs="宋体"/>
          <w:color w:val="auto"/>
          <w:kern w:val="0"/>
          <w:sz w:val="24"/>
          <w:szCs w:val="24"/>
        </w:rPr>
      </w:pPr>
      <w:r>
        <w:rPr>
          <w:rFonts w:hint="eastAsia" w:ascii="宋体" w:hAnsi="宋体" w:eastAsia="宋体" w:cs="宋体"/>
          <w:color w:val="auto"/>
          <w:kern w:val="0"/>
          <w:sz w:val="24"/>
          <w:szCs w:val="24"/>
        </w:rPr>
        <w:t>附件3-3         </w:t>
      </w:r>
    </w:p>
    <w:p>
      <w:pPr>
        <w:keepNext w:val="0"/>
        <w:keepLines w:val="0"/>
        <w:pageBreakBefore w:val="0"/>
        <w:widowControl/>
        <w:kinsoku/>
        <w:wordWrap/>
        <w:overflowPunct/>
        <w:topLinePunct w:val="0"/>
        <w:bidi w:val="0"/>
        <w:snapToGrid/>
        <w:spacing w:before="75" w:after="75" w:line="360" w:lineRule="auto"/>
        <w:jc w:val="center"/>
        <w:textAlignment w:val="auto"/>
        <w:outlineLvl w:val="1"/>
        <w:rPr>
          <w:rFonts w:ascii="宋体" w:hAnsi="宋体" w:eastAsia="宋体" w:cs="宋体"/>
          <w:color w:val="auto"/>
          <w:kern w:val="0"/>
          <w:sz w:val="28"/>
          <w:szCs w:val="28"/>
        </w:rPr>
      </w:pPr>
      <w:r>
        <w:rPr>
          <w:rFonts w:hint="eastAsia" w:ascii="宋体" w:hAnsi="宋体" w:eastAsia="宋体" w:cs="宋体"/>
          <w:b/>
          <w:bCs/>
          <w:color w:val="auto"/>
          <w:kern w:val="0"/>
          <w:sz w:val="28"/>
          <w:szCs w:val="28"/>
        </w:rPr>
        <w:t>单位负责人授权书</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致：(采购人或采购代理机构)       </w:t>
      </w:r>
    </w:p>
    <w:p>
      <w:pPr>
        <w:keepNext w:val="0"/>
        <w:keepLines w:val="0"/>
        <w:pageBreakBefore w:val="0"/>
        <w:widowControl/>
        <w:kinsoku/>
        <w:wordWrap/>
        <w:overflowPunct/>
        <w:topLinePunct w:val="0"/>
        <w:bidi w:val="0"/>
        <w:snapToGrid/>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我方的单位负责人（填写“单位负责人全名”）授权（填写“供应商代表全名”）为我方的供应商代表，代表我方参加  （填写“项目名称”）   项目（项目编号：         ）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供应商代表无转委权。特此授权。</w:t>
      </w:r>
    </w:p>
    <w:p>
      <w:pPr>
        <w:pStyle w:val="2"/>
        <w:keepNext w:val="0"/>
        <w:keepLines w:val="0"/>
        <w:pageBreakBefore w:val="0"/>
        <w:kinsoku/>
        <w:wordWrap/>
        <w:overflowPunct/>
        <w:topLinePunct w:val="0"/>
        <w:bidi w:val="0"/>
        <w:snapToGrid/>
        <w:spacing w:line="360" w:lineRule="auto"/>
        <w:ind w:firstLine="960"/>
        <w:textAlignment w:val="auto"/>
        <w:rPr>
          <w:color w:val="auto"/>
        </w:rPr>
      </w:pPr>
    </w:p>
    <w:p>
      <w:pPr>
        <w:keepNext w:val="0"/>
        <w:keepLines w:val="0"/>
        <w:pageBreakBefore w:val="0"/>
        <w:widowControl/>
        <w:kinsoku/>
        <w:wordWrap/>
        <w:overflowPunct/>
        <w:topLinePunct w:val="0"/>
        <w:bidi w:val="0"/>
        <w:snapToGrid/>
        <w:spacing w:before="75" w:after="75"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（以下无正文）</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单位负责人：         身份证号：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手机：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供应商代表：         身份证号：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手机：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授权方</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供应商：（全称并加盖单位公章）</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单位负责人签字或盖章：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接受授权方</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供应商代表签字：</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签署日期：    年   月   日</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right"/>
        <w:textAlignment w:val="auto"/>
        <w:rPr>
          <w:rFonts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附：单位负责人、供应商代表的身份证正反面复印件</w:t>
      </w:r>
    </w:p>
    <w:tbl>
      <w:tblPr>
        <w:tblStyle w:val="10"/>
        <w:tblW w:w="8565"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tblCellSpacing w:w="15" w:type="dxa"/>
        </w:trPr>
        <w:tc>
          <w:tcPr>
            <w:tcW w:w="8505"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 </w:t>
            </w:r>
          </w:p>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要求：真实、有效、清晰</w:t>
            </w:r>
          </w:p>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 </w:t>
            </w:r>
          </w:p>
        </w:tc>
      </w:tr>
    </w:tbl>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★注意：</w:t>
      </w: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1、企业（银行、保险、石油石化、电力、电信等行业除外）、事业单位和社会团体法人的“单位负责人”指</w:t>
      </w:r>
      <w:r>
        <w:rPr>
          <w:rFonts w:hint="eastAsia" w:ascii="宋体" w:hAnsi="宋体" w:eastAsia="宋体" w:cs="宋体"/>
          <w:b/>
          <w:bCs/>
          <w:color w:val="auto"/>
          <w:kern w:val="0"/>
          <w:sz w:val="24"/>
          <w:szCs w:val="24"/>
        </w:rPr>
        <w:t>法定代表人</w:t>
      </w:r>
      <w:r>
        <w:rPr>
          <w:rFonts w:hint="eastAsia" w:ascii="宋体" w:hAnsi="宋体" w:eastAsia="宋体" w:cs="宋体"/>
          <w:color w:val="auto"/>
          <w:kern w:val="0"/>
          <w:sz w:val="24"/>
          <w:szCs w:val="24"/>
        </w:rPr>
        <w:t>，即与实际提交的“营业执照等证明文件”载明的一致。</w:t>
      </w: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2、银行、保险、石油石化、电力、电信等行业：以法人身份参加谈判的，“单位负责人”指</w:t>
      </w:r>
      <w:r>
        <w:rPr>
          <w:rFonts w:hint="eastAsia" w:ascii="宋体" w:hAnsi="宋体" w:eastAsia="宋体" w:cs="宋体"/>
          <w:b/>
          <w:bCs/>
          <w:color w:val="auto"/>
          <w:kern w:val="0"/>
          <w:sz w:val="24"/>
          <w:szCs w:val="24"/>
        </w:rPr>
        <w:t>法定代表人</w:t>
      </w:r>
      <w:r>
        <w:rPr>
          <w:rFonts w:hint="eastAsia" w:ascii="宋体" w:hAnsi="宋体" w:eastAsia="宋体" w:cs="宋体"/>
          <w:color w:val="auto"/>
          <w:kern w:val="0"/>
          <w:sz w:val="24"/>
          <w:szCs w:val="24"/>
        </w:rPr>
        <w:t>，即与实际提交的“营业执照等证明文件”载明的一致；以非法人身份参加谈判的，“单位负责人”指</w:t>
      </w:r>
      <w:r>
        <w:rPr>
          <w:rFonts w:hint="eastAsia" w:ascii="宋体" w:hAnsi="宋体" w:eastAsia="宋体" w:cs="宋体"/>
          <w:b/>
          <w:bCs/>
          <w:color w:val="auto"/>
          <w:kern w:val="0"/>
          <w:sz w:val="24"/>
          <w:szCs w:val="24"/>
        </w:rPr>
        <w:t>代表单位行使职权的主要负责人</w:t>
      </w:r>
      <w:r>
        <w:rPr>
          <w:rFonts w:hint="eastAsia" w:ascii="宋体" w:hAnsi="宋体" w:eastAsia="宋体" w:cs="宋体"/>
          <w:color w:val="auto"/>
          <w:kern w:val="0"/>
          <w:sz w:val="24"/>
          <w:szCs w:val="24"/>
        </w:rPr>
        <w:t>，即与实际提交的“营业执照等证明文件”载明的一致。</w:t>
      </w: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keepNext w:val="0"/>
        <w:keepLines w:val="0"/>
        <w:pageBreakBefore w:val="0"/>
        <w:widowControl/>
        <w:kinsoku/>
        <w:wordWrap/>
        <w:overflowPunct/>
        <w:topLinePunct w:val="0"/>
        <w:bidi w:val="0"/>
        <w:snapToGrid/>
        <w:spacing w:before="75" w:after="75" w:line="360"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4、对于接受联合体形式的谈判且供应商是联合体的，则只需要联合体的牵头方提交本授权书，在纸质响应文件正本中的本授权书应为原件。</w:t>
      </w:r>
    </w:p>
    <w:p>
      <w:pPr>
        <w:keepNext w:val="0"/>
        <w:keepLines w:val="0"/>
        <w:pageBreakBefore w:val="0"/>
        <w:kinsoku/>
        <w:wordWrap/>
        <w:overflowPunct/>
        <w:topLinePunct w:val="0"/>
        <w:bidi w:val="0"/>
        <w:snapToGrid/>
        <w:spacing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br w:type="page"/>
      </w:r>
    </w:p>
    <w:p>
      <w:pPr>
        <w:keepNext w:val="0"/>
        <w:keepLines w:val="0"/>
        <w:pageBreakBefore w:val="0"/>
        <w:widowControl/>
        <w:kinsoku/>
        <w:wordWrap/>
        <w:overflowPunct/>
        <w:topLinePunct w:val="0"/>
        <w:bidi w:val="0"/>
        <w:snapToGrid/>
        <w:spacing w:before="75" w:after="75" w:line="360" w:lineRule="auto"/>
        <w:jc w:val="left"/>
        <w:textAlignment w:val="auto"/>
        <w:outlineLvl w:val="1"/>
        <w:rPr>
          <w:rFonts w:ascii="宋体" w:hAnsi="宋体" w:eastAsia="宋体" w:cs="宋体"/>
          <w:b/>
          <w:bCs/>
          <w:color w:val="auto"/>
          <w:kern w:val="0"/>
          <w:sz w:val="24"/>
          <w:szCs w:val="24"/>
        </w:rPr>
      </w:pPr>
      <w:r>
        <w:rPr>
          <w:rFonts w:hint="eastAsia" w:ascii="宋体" w:hAnsi="宋体" w:eastAsia="宋体" w:cs="宋体"/>
          <w:color w:val="auto"/>
          <w:kern w:val="0"/>
          <w:sz w:val="24"/>
          <w:szCs w:val="24"/>
        </w:rPr>
        <w:t>附件3-4 </w:t>
      </w:r>
      <w:r>
        <w:rPr>
          <w:rFonts w:hint="eastAsia" w:ascii="宋体" w:hAnsi="宋体" w:eastAsia="宋体" w:cs="宋体"/>
          <w:b/>
          <w:bCs/>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center"/>
        <w:textAlignment w:val="auto"/>
        <w:outlineLvl w:val="1"/>
        <w:rPr>
          <w:rFonts w:ascii="宋体" w:hAnsi="宋体" w:eastAsia="宋体" w:cs="宋体"/>
          <w:color w:val="auto"/>
          <w:kern w:val="0"/>
          <w:sz w:val="24"/>
          <w:szCs w:val="24"/>
        </w:rPr>
      </w:pPr>
      <w:r>
        <w:rPr>
          <w:rFonts w:hint="eastAsia" w:ascii="宋体" w:hAnsi="宋体" w:eastAsia="宋体" w:cs="宋体"/>
          <w:b/>
          <w:bCs/>
          <w:color w:val="auto"/>
          <w:kern w:val="0"/>
          <w:sz w:val="28"/>
          <w:szCs w:val="28"/>
        </w:rPr>
        <w:t>营业执照等证明文件</w:t>
      </w: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致：(采购人或采购代理机构)        </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）供应商为法人（包括企业、事业单位和社会团体）的</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现附上由（填写“签发机关全称”）签发的我方统一社会信用代码（请填写法人的具体证照名称）复印件，该证明材料真实有效，否则我方负全部责任。</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）供应商为非法人（包括其他组织、自然人）的</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□现附上由（填写“签发机关全称”）签发的我方（请填写非自然人的非法人的具体证照名称）复印件，该证明材料真实有效，否则我方负全部责任。</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□现附上由（填写“签发机关全称”）签发的我方（请填写自然人的身份证件名称）复印件，该证明材料真实有效，否则我方负全部责任。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★注意：</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1、请供应商根据实际情况填写，在相应的（）中打“√”并选择相应的“□”（若有）后，再按照本格式的要求提供相应证明材料的复印件。</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3、供应商提供的相应证明材料复印件均应符合：内容完整、清晰、整洁，并由供应商加盖其单位公章。</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4、对于接受联合体形式的谈判且供应商是联合体的，则联合体各成员都应当提交本资格证明文件。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供应商代表：          （签字）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供应商名称：       （全称并加盖公章）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日  期：     年    月    日</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附件3-5         </w:t>
      </w:r>
    </w:p>
    <w:p>
      <w:pPr>
        <w:keepNext w:val="0"/>
        <w:keepLines w:val="0"/>
        <w:pageBreakBefore w:val="0"/>
        <w:widowControl/>
        <w:kinsoku/>
        <w:wordWrap/>
        <w:overflowPunct/>
        <w:topLinePunct w:val="0"/>
        <w:bidi w:val="0"/>
        <w:snapToGrid/>
        <w:spacing w:before="75" w:after="75" w:line="360" w:lineRule="auto"/>
        <w:jc w:val="center"/>
        <w:textAlignment w:val="auto"/>
        <w:rPr>
          <w:rFonts w:ascii="宋体" w:hAnsi="宋体" w:eastAsia="宋体" w:cs="宋体"/>
          <w:color w:val="auto"/>
          <w:kern w:val="0"/>
          <w:sz w:val="24"/>
          <w:szCs w:val="24"/>
        </w:rPr>
      </w:pPr>
      <w:r>
        <w:rPr>
          <w:rFonts w:hint="eastAsia" w:ascii="宋体" w:hAnsi="宋体" w:eastAsia="宋体" w:cs="宋体"/>
          <w:b/>
          <w:bCs/>
          <w:color w:val="auto"/>
          <w:kern w:val="0"/>
          <w:sz w:val="28"/>
          <w:szCs w:val="28"/>
        </w:rPr>
        <w:t>财务状况报告</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致：(采购人或采购代理机构)         </w:t>
      </w:r>
    </w:p>
    <w:p>
      <w:pPr>
        <w:keepNext w:val="0"/>
        <w:keepLines w:val="0"/>
        <w:pageBreakBefore w:val="0"/>
        <w:widowControl/>
        <w:kinsoku/>
        <w:wordWrap/>
        <w:overflowPunct/>
        <w:topLinePunct w:val="0"/>
        <w:bidi w:val="0"/>
        <w:snapToGrid/>
        <w:spacing w:before="75" w:after="75" w:line="360" w:lineRule="auto"/>
        <w:ind w:firstLine="48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）供应商提供财务报告的</w:t>
      </w:r>
    </w:p>
    <w:p>
      <w:pPr>
        <w:keepNext w:val="0"/>
        <w:keepLines w:val="0"/>
        <w:pageBreakBefore w:val="0"/>
        <w:widowControl/>
        <w:kinsoku/>
        <w:wordWrap/>
        <w:overflowPunct/>
        <w:topLinePunct w:val="0"/>
        <w:bidi w:val="0"/>
        <w:snapToGrid/>
        <w:spacing w:before="75" w:after="75" w:line="360" w:lineRule="auto"/>
        <w:ind w:firstLine="48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企业适用：现附上我方（填写“具体的年度、或半年度、或季度”）财务报告复印件，包括资产负债表、利润表、现金流量表、所有者权益变动表及其附注（若有），上述证明材料真实有效，否则我方负全部责任。</w:t>
      </w:r>
    </w:p>
    <w:p>
      <w:pPr>
        <w:keepNext w:val="0"/>
        <w:keepLines w:val="0"/>
        <w:pageBreakBefore w:val="0"/>
        <w:widowControl/>
        <w:kinsoku/>
        <w:wordWrap/>
        <w:overflowPunct/>
        <w:topLinePunct w:val="0"/>
        <w:bidi w:val="0"/>
        <w:snapToGrid/>
        <w:spacing w:before="75" w:after="75" w:line="360" w:lineRule="auto"/>
        <w:ind w:firstLine="48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事业单位适用：现附上我方（填写“具体的年度、或半年度、或季度”）财务报告复印件，包括资产负债表、收入支出表或收入费用表、财政补助收入支出表（若有），上述证明材料真实有效，否则我方负全部责任。</w:t>
      </w:r>
    </w:p>
    <w:p>
      <w:pPr>
        <w:keepNext w:val="0"/>
        <w:keepLines w:val="0"/>
        <w:pageBreakBefore w:val="0"/>
        <w:widowControl/>
        <w:kinsoku/>
        <w:wordWrap/>
        <w:overflowPunct/>
        <w:topLinePunct w:val="0"/>
        <w:bidi w:val="0"/>
        <w:snapToGrid/>
        <w:spacing w:before="75" w:after="75" w:line="360" w:lineRule="auto"/>
        <w:ind w:firstLine="48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□社会团体适用：现附上我方（填写“具体的年度、或半年度、或季度”）财务报告复印件，包括资产负债表、业务活动表、现金流量表，上述证明材料真实有效，否则我方负全部责任。</w:t>
      </w:r>
    </w:p>
    <w:p>
      <w:pPr>
        <w:keepNext w:val="0"/>
        <w:keepLines w:val="0"/>
        <w:pageBreakBefore w:val="0"/>
        <w:widowControl/>
        <w:kinsoku/>
        <w:wordWrap/>
        <w:overflowPunct/>
        <w:topLinePunct w:val="0"/>
        <w:bidi w:val="0"/>
        <w:snapToGrid/>
        <w:spacing w:before="75" w:after="75" w:line="360" w:lineRule="auto"/>
        <w:ind w:firstLine="48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）供应商提供资信证明的</w:t>
      </w:r>
    </w:p>
    <w:p>
      <w:pPr>
        <w:keepNext w:val="0"/>
        <w:keepLines w:val="0"/>
        <w:pageBreakBefore w:val="0"/>
        <w:widowControl/>
        <w:kinsoku/>
        <w:wordWrap/>
        <w:overflowPunct/>
        <w:topLinePunct w:val="0"/>
        <w:bidi w:val="0"/>
        <w:snapToGrid/>
        <w:spacing w:before="75" w:after="75" w:line="360" w:lineRule="auto"/>
        <w:ind w:firstLine="48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□非自然人适用：现附上我方开户（基本户）许可证复印件及我方银行：（填写“基本户的开户银行全称”）出具的资信证明复印件，上述证明材料真实有效，否则我方负全部责任。</w:t>
      </w:r>
    </w:p>
    <w:p>
      <w:pPr>
        <w:keepNext w:val="0"/>
        <w:keepLines w:val="0"/>
        <w:pageBreakBefore w:val="0"/>
        <w:widowControl/>
        <w:kinsoku/>
        <w:wordWrap/>
        <w:overflowPunct/>
        <w:topLinePunct w:val="0"/>
        <w:bidi w:val="0"/>
        <w:snapToGrid/>
        <w:spacing w:before="75" w:after="75" w:line="360" w:lineRule="auto"/>
        <w:ind w:firstLine="48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□自然人适用：现附上我方银行：（填写自然人的“个人账户的开户银行全称”）出具的资信证明复印件，上述证明材料真实有效，否则我方负全部责任。</w:t>
      </w:r>
    </w:p>
    <w:p>
      <w:pPr>
        <w:keepNext w:val="0"/>
        <w:keepLines w:val="0"/>
        <w:pageBreakBefore w:val="0"/>
        <w:widowControl/>
        <w:kinsoku/>
        <w:wordWrap/>
        <w:overflowPunct/>
        <w:topLinePunct w:val="0"/>
        <w:bidi w:val="0"/>
        <w:snapToGrid/>
        <w:spacing w:before="75" w:after="75" w:line="360" w:lineRule="auto"/>
        <w:ind w:firstLine="48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）供应商提供投标担保函的</w:t>
      </w:r>
    </w:p>
    <w:p>
      <w:pPr>
        <w:keepNext w:val="0"/>
        <w:keepLines w:val="0"/>
        <w:pageBreakBefore w:val="0"/>
        <w:widowControl/>
        <w:kinsoku/>
        <w:wordWrap/>
        <w:overflowPunct/>
        <w:topLinePunct w:val="0"/>
        <w:bidi w:val="0"/>
        <w:snapToGrid/>
        <w:spacing w:before="75" w:after="75" w:line="360" w:lineRule="auto"/>
        <w:ind w:firstLine="48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现附上由财政部门认可的政府采购专业担保机构：（填写“担保机构全称”）出具的投标担保函复印件，上述证明材料真实有效，否则我方负全部责任。</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★注意事项：</w:t>
      </w:r>
    </w:p>
    <w:p>
      <w:pPr>
        <w:keepNext w:val="0"/>
        <w:keepLines w:val="0"/>
        <w:pageBreakBefore w:val="0"/>
        <w:widowControl/>
        <w:kinsoku/>
        <w:wordWrap/>
        <w:overflowPunct/>
        <w:topLinePunct w:val="0"/>
        <w:bidi w:val="0"/>
        <w:snapToGrid/>
        <w:spacing w:before="75" w:after="75" w:line="360" w:lineRule="auto"/>
        <w:ind w:firstLine="42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keepNext w:val="0"/>
        <w:keepLines w:val="0"/>
        <w:pageBreakBefore w:val="0"/>
        <w:widowControl/>
        <w:kinsoku/>
        <w:wordWrap/>
        <w:overflowPunct/>
        <w:topLinePunct w:val="0"/>
        <w:bidi w:val="0"/>
        <w:snapToGrid/>
        <w:spacing w:before="75" w:after="75" w:line="360" w:lineRule="auto"/>
        <w:ind w:firstLine="42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2、供应商提供的财务报告复印件（成立年限按照首次响应文件递交截止时间推算）应符合下列规定：</w:t>
      </w:r>
    </w:p>
    <w:p>
      <w:pPr>
        <w:keepNext w:val="0"/>
        <w:keepLines w:val="0"/>
        <w:pageBreakBefore w:val="0"/>
        <w:widowControl/>
        <w:kinsoku/>
        <w:wordWrap/>
        <w:overflowPunct/>
        <w:topLinePunct w:val="0"/>
        <w:bidi w:val="0"/>
        <w:snapToGrid/>
        <w:spacing w:before="75" w:after="75" w:line="360" w:lineRule="auto"/>
        <w:ind w:firstLine="42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2.1成立年限满1年及以上的供应商，提供经审计的上一年度的年度财务报告。</w:t>
      </w:r>
    </w:p>
    <w:p>
      <w:pPr>
        <w:keepNext w:val="0"/>
        <w:keepLines w:val="0"/>
        <w:pageBreakBefore w:val="0"/>
        <w:widowControl/>
        <w:kinsoku/>
        <w:wordWrap/>
        <w:overflowPunct/>
        <w:topLinePunct w:val="0"/>
        <w:bidi w:val="0"/>
        <w:snapToGrid/>
        <w:spacing w:before="75" w:after="75" w:line="360" w:lineRule="auto"/>
        <w:ind w:firstLine="42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2.2成立年限满半年但不足1年的供应商，提供该半年度中任一季度的季度财务报告或该半年度的半年度财务报告。</w:t>
      </w:r>
    </w:p>
    <w:p>
      <w:pPr>
        <w:keepNext w:val="0"/>
        <w:keepLines w:val="0"/>
        <w:pageBreakBefore w:val="0"/>
        <w:widowControl/>
        <w:kinsoku/>
        <w:wordWrap/>
        <w:overflowPunct/>
        <w:topLinePunct w:val="0"/>
        <w:bidi w:val="0"/>
        <w:snapToGrid/>
        <w:spacing w:before="75" w:after="75" w:line="360" w:lineRule="auto"/>
        <w:ind w:firstLine="420"/>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无法按照本格式注意事项第2.1、2.2条规定提供财务报告复印件的供应商，应按照本格式注意事项的要求选择提供资信证明复印件或投标担保函复印件，其中：非自然人的供应商选择提供资信证明的，还应附上其开户（基本户）许可证复印件。</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3、“财政部门认可的政府采购专业担保机构”应符合《财政部关于开展政府采购信用担保试点工作方案》（财库[2012]124号）的规定。</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4、供应商提供的相应证明材料复印件均应符合：内容完整、清晰、整洁，并由供应商加盖其单位公章。</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5、对于接受联合体形式的谈判且供应商是联合体的，则联合体各成员都应当提交本资格证明文件。</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供应商代表：          （签字）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供应商名称：       （全称并加盖公章）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日  期：     年    月    日</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附件3-6          </w:t>
      </w:r>
    </w:p>
    <w:p>
      <w:pPr>
        <w:keepNext w:val="0"/>
        <w:keepLines w:val="0"/>
        <w:pageBreakBefore w:val="0"/>
        <w:widowControl/>
        <w:kinsoku/>
        <w:wordWrap/>
        <w:overflowPunct/>
        <w:topLinePunct w:val="0"/>
        <w:bidi w:val="0"/>
        <w:snapToGrid/>
        <w:spacing w:before="75" w:after="75" w:line="360" w:lineRule="auto"/>
        <w:jc w:val="center"/>
        <w:textAlignment w:val="auto"/>
        <w:rPr>
          <w:rFonts w:ascii="宋体" w:hAnsi="宋体" w:eastAsia="宋体" w:cs="宋体"/>
          <w:color w:val="auto"/>
          <w:kern w:val="0"/>
          <w:sz w:val="28"/>
          <w:szCs w:val="28"/>
        </w:rPr>
      </w:pPr>
      <w:r>
        <w:rPr>
          <w:rFonts w:hint="eastAsia" w:ascii="宋体" w:hAnsi="宋体" w:eastAsia="宋体" w:cs="宋体"/>
          <w:b/>
          <w:bCs/>
          <w:color w:val="auto"/>
          <w:kern w:val="0"/>
          <w:sz w:val="28"/>
          <w:szCs w:val="28"/>
        </w:rPr>
        <w:t>依法缴纳税收证明材料</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致：(采购人或采购代理机构)      </w:t>
      </w:r>
    </w:p>
    <w:p>
      <w:pPr>
        <w:keepNext w:val="0"/>
        <w:keepLines w:val="0"/>
        <w:pageBreakBefore w:val="0"/>
        <w:widowControl/>
        <w:kinsoku/>
        <w:wordWrap/>
        <w:overflowPunct/>
        <w:topLinePunct w:val="0"/>
        <w:bidi w:val="0"/>
        <w:snapToGrid/>
        <w:spacing w:before="75" w:after="75" w:line="360" w:lineRule="auto"/>
        <w:ind w:firstLine="482" w:firstLineChars="200"/>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1、依法缴纳税收的供应商</w:t>
      </w:r>
    </w:p>
    <w:p>
      <w:pPr>
        <w:keepNext w:val="0"/>
        <w:keepLines w:val="0"/>
        <w:pageBreakBefore w:val="0"/>
        <w:widowControl/>
        <w:kinsoku/>
        <w:wordWrap/>
        <w:overflowPunct/>
        <w:topLinePunct w:val="0"/>
        <w:bidi w:val="0"/>
        <w:snapToGrid/>
        <w:spacing w:before="75" w:after="75" w:line="360" w:lineRule="auto"/>
        <w:ind w:firstLine="42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）法人（包括企业、事业单位和社会团体）的</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现附上自    年   月   日至    年   月   日期间我方缴纳的（按照供应商实际缴纳的税种名称填写，如：增值税、所得税等）税收凭据复印件，上述证明材料真实有效，否则我方负全部责任。</w:t>
      </w:r>
    </w:p>
    <w:p>
      <w:pPr>
        <w:keepNext w:val="0"/>
        <w:keepLines w:val="0"/>
        <w:pageBreakBefore w:val="0"/>
        <w:widowControl/>
        <w:kinsoku/>
        <w:wordWrap/>
        <w:overflowPunct/>
        <w:topLinePunct w:val="0"/>
        <w:bidi w:val="0"/>
        <w:snapToGrid/>
        <w:spacing w:before="75" w:after="75" w:line="360" w:lineRule="auto"/>
        <w:ind w:firstLine="42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）非法人（包括其他组织、自然人）的</w:t>
      </w:r>
    </w:p>
    <w:p>
      <w:pPr>
        <w:keepNext w:val="0"/>
        <w:keepLines w:val="0"/>
        <w:pageBreakBefore w:val="0"/>
        <w:widowControl/>
        <w:kinsoku/>
        <w:wordWrap/>
        <w:overflowPunct/>
        <w:topLinePunct w:val="0"/>
        <w:bidi w:val="0"/>
        <w:snapToGrid/>
        <w:spacing w:before="75" w:after="75" w:line="360" w:lineRule="auto"/>
        <w:ind w:firstLine="42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现附上自    年   月   日至    年   月   日期间我方缴纳的（按照供应商实际缴纳的税种名称填写）税收凭据复印件，上述证明材料真实有效，否则我方负全部责任。</w:t>
      </w:r>
    </w:p>
    <w:p>
      <w:pPr>
        <w:keepNext w:val="0"/>
        <w:keepLines w:val="0"/>
        <w:pageBreakBefore w:val="0"/>
        <w:widowControl/>
        <w:kinsoku/>
        <w:wordWrap/>
        <w:overflowPunct/>
        <w:topLinePunct w:val="0"/>
        <w:bidi w:val="0"/>
        <w:snapToGrid/>
        <w:spacing w:before="75" w:after="75" w:line="360" w:lineRule="auto"/>
        <w:ind w:firstLine="482" w:firstLineChars="200"/>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2、依法免税的供应商</w:t>
      </w:r>
    </w:p>
    <w:p>
      <w:pPr>
        <w:keepNext w:val="0"/>
        <w:keepLines w:val="0"/>
        <w:pageBreakBefore w:val="0"/>
        <w:widowControl/>
        <w:kinsoku/>
        <w:wordWrap/>
        <w:overflowPunct/>
        <w:topLinePunct w:val="0"/>
        <w:bidi w:val="0"/>
        <w:snapToGrid/>
        <w:spacing w:before="75" w:after="75" w:line="360" w:lineRule="auto"/>
        <w:ind w:firstLine="42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）现附上我方依法免税证明材料复印件，上述证明材料真实有效，否则我方负全部责任。</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★注意：</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1、请供应商根据实际情况填写，在相应的（）中打“√”，并按照本格式的要求提供相应证明材料的复印件。</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2、供应商提供的税收凭据复印件应符合下列规定：</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2.1首次响应文件递交截止时间前（不含截止时间的当月）已依法缴纳税收的供应商，提供首次响应文件递交截止时间前六个月（不含截止时间的当月）中任一月份的税收凭据复印件。</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2.2首次响应文件递交截止时间的当月成立且已依法缴纳税收的供应商，提供截止时间当月的税收凭据复印件。</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2.3首次响应文件递交截止时间的当月成立但因税务机关原因而尚未依法缴纳税收的供应商，提供依法缴纳税收承诺书原件（格式自拟），该承诺书视同税收凭据。</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3、供应商提供的相应证明材料复印件均应符合：内容完整、清晰、整洁，并由供应商加盖其单位公章。</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b/>
          <w:bCs/>
          <w:color w:val="auto"/>
          <w:kern w:val="0"/>
          <w:sz w:val="24"/>
          <w:szCs w:val="24"/>
        </w:rPr>
        <w:t>“依法缴纳税收证明材料”</w:t>
      </w:r>
      <w:r>
        <w:rPr>
          <w:rFonts w:hint="eastAsia" w:ascii="宋体" w:hAnsi="宋体" w:eastAsia="宋体" w:cs="宋体"/>
          <w:color w:val="auto"/>
          <w:kern w:val="0"/>
          <w:sz w:val="24"/>
          <w:szCs w:val="24"/>
        </w:rPr>
        <w:t>有欠缴记录的，视为</w:t>
      </w:r>
      <w:r>
        <w:rPr>
          <w:rFonts w:hint="eastAsia" w:ascii="宋体" w:hAnsi="宋体" w:eastAsia="宋体" w:cs="宋体"/>
          <w:b/>
          <w:bCs/>
          <w:color w:val="auto"/>
          <w:kern w:val="0"/>
          <w:sz w:val="24"/>
          <w:szCs w:val="24"/>
        </w:rPr>
        <w:t>未依法缴纳税收</w:t>
      </w:r>
      <w:r>
        <w:rPr>
          <w:rFonts w:hint="eastAsia" w:ascii="宋体" w:hAnsi="宋体" w:eastAsia="宋体" w:cs="宋体"/>
          <w:color w:val="auto"/>
          <w:kern w:val="0"/>
          <w:sz w:val="24"/>
          <w:szCs w:val="24"/>
        </w:rPr>
        <w:t>。</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5、对于接受联合体形式的谈判且供应商是联合体的，则联合体各成员都应当提交本资格证明文件。</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pStyle w:val="2"/>
        <w:keepNext w:val="0"/>
        <w:keepLines w:val="0"/>
        <w:pageBreakBefore w:val="0"/>
        <w:kinsoku/>
        <w:wordWrap/>
        <w:overflowPunct/>
        <w:topLinePunct w:val="0"/>
        <w:bidi w:val="0"/>
        <w:snapToGrid/>
        <w:spacing w:line="360" w:lineRule="auto"/>
        <w:textAlignment w:val="auto"/>
        <w:rPr>
          <w:rFonts w:ascii="宋体" w:hAnsi="宋体" w:cs="宋体"/>
          <w:color w:val="auto"/>
        </w:rPr>
      </w:pPr>
    </w:p>
    <w:p>
      <w:pPr>
        <w:pStyle w:val="2"/>
        <w:keepNext w:val="0"/>
        <w:keepLines w:val="0"/>
        <w:pageBreakBefore w:val="0"/>
        <w:kinsoku/>
        <w:wordWrap/>
        <w:overflowPunct/>
        <w:topLinePunct w:val="0"/>
        <w:bidi w:val="0"/>
        <w:snapToGrid/>
        <w:spacing w:line="360" w:lineRule="auto"/>
        <w:textAlignment w:val="auto"/>
        <w:rPr>
          <w:rFonts w:ascii="宋体" w:hAnsi="宋体" w:cs="宋体"/>
          <w:color w:val="auto"/>
        </w:rPr>
      </w:pP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供应商代表：          （签字）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供应商名称：       （全称并加盖公章）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日  期：     年    月    日</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outlineLvl w:val="1"/>
        <w:rPr>
          <w:rFonts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jc w:val="left"/>
        <w:textAlignment w:val="auto"/>
        <w:outlineLvl w:val="1"/>
        <w:rPr>
          <w:rFonts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jc w:val="left"/>
        <w:textAlignment w:val="auto"/>
        <w:outlineLvl w:val="1"/>
        <w:rPr>
          <w:rFonts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jc w:val="left"/>
        <w:textAlignment w:val="auto"/>
        <w:outlineLvl w:val="1"/>
        <w:rPr>
          <w:rFonts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jc w:val="left"/>
        <w:textAlignment w:val="auto"/>
        <w:outlineLvl w:val="1"/>
        <w:rPr>
          <w:rFonts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jc w:val="left"/>
        <w:textAlignment w:val="auto"/>
        <w:outlineLvl w:val="1"/>
        <w:rPr>
          <w:rFonts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jc w:val="left"/>
        <w:textAlignment w:val="auto"/>
        <w:outlineLvl w:val="1"/>
        <w:rPr>
          <w:rFonts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jc w:val="left"/>
        <w:textAlignment w:val="auto"/>
        <w:outlineLvl w:val="1"/>
        <w:rPr>
          <w:rFonts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jc w:val="left"/>
        <w:textAlignment w:val="auto"/>
        <w:outlineLvl w:val="1"/>
        <w:rPr>
          <w:rFonts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jc w:val="left"/>
        <w:textAlignment w:val="auto"/>
        <w:outlineLvl w:val="1"/>
        <w:rPr>
          <w:rFonts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jc w:val="left"/>
        <w:textAlignment w:val="auto"/>
        <w:outlineLvl w:val="1"/>
        <w:rPr>
          <w:rFonts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jc w:val="left"/>
        <w:textAlignment w:val="auto"/>
        <w:outlineLvl w:val="1"/>
        <w:rPr>
          <w:rFonts w:ascii="宋体" w:hAnsi="宋体" w:eastAsia="宋体" w:cs="宋体"/>
          <w:color w:val="auto"/>
          <w:kern w:val="0"/>
          <w:sz w:val="24"/>
          <w:szCs w:val="24"/>
        </w:rPr>
      </w:pPr>
      <w:r>
        <w:rPr>
          <w:rFonts w:hint="eastAsia" w:ascii="宋体" w:hAnsi="宋体" w:eastAsia="宋体" w:cs="宋体"/>
          <w:color w:val="auto"/>
          <w:kern w:val="0"/>
          <w:sz w:val="24"/>
          <w:szCs w:val="24"/>
        </w:rPr>
        <w:t>附件3-7       </w:t>
      </w:r>
    </w:p>
    <w:p>
      <w:pPr>
        <w:keepNext w:val="0"/>
        <w:keepLines w:val="0"/>
        <w:pageBreakBefore w:val="0"/>
        <w:widowControl/>
        <w:kinsoku/>
        <w:wordWrap/>
        <w:overflowPunct/>
        <w:topLinePunct w:val="0"/>
        <w:bidi w:val="0"/>
        <w:snapToGrid/>
        <w:spacing w:before="75" w:after="75" w:line="360" w:lineRule="auto"/>
        <w:jc w:val="center"/>
        <w:textAlignment w:val="auto"/>
        <w:outlineLvl w:val="1"/>
        <w:rPr>
          <w:rFonts w:ascii="宋体" w:hAnsi="宋体" w:eastAsia="宋体" w:cs="宋体"/>
          <w:color w:val="auto"/>
          <w:kern w:val="0"/>
          <w:sz w:val="24"/>
          <w:szCs w:val="24"/>
        </w:rPr>
      </w:pPr>
      <w:r>
        <w:rPr>
          <w:rFonts w:hint="eastAsia" w:ascii="宋体" w:hAnsi="宋体" w:eastAsia="宋体" w:cs="宋体"/>
          <w:b/>
          <w:bCs/>
          <w:color w:val="auto"/>
          <w:kern w:val="0"/>
          <w:sz w:val="28"/>
          <w:szCs w:val="28"/>
        </w:rPr>
        <w:t>依法缴纳社会保障资金证明材料</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致：(采购人或采购代理机构)       </w:t>
      </w:r>
    </w:p>
    <w:p>
      <w:pPr>
        <w:keepNext w:val="0"/>
        <w:keepLines w:val="0"/>
        <w:pageBreakBefore w:val="0"/>
        <w:widowControl/>
        <w:kinsoku/>
        <w:wordWrap/>
        <w:overflowPunct/>
        <w:topLinePunct w:val="0"/>
        <w:bidi w:val="0"/>
        <w:snapToGrid/>
        <w:spacing w:before="75" w:after="75" w:line="360" w:lineRule="auto"/>
        <w:ind w:firstLine="482" w:firstLineChars="200"/>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1、依法缴纳社会保障资金的供应商</w:t>
      </w:r>
    </w:p>
    <w:p>
      <w:pPr>
        <w:keepNext w:val="0"/>
        <w:keepLines w:val="0"/>
        <w:pageBreakBefore w:val="0"/>
        <w:widowControl/>
        <w:kinsoku/>
        <w:wordWrap/>
        <w:overflowPunct/>
        <w:topLinePunct w:val="0"/>
        <w:bidi w:val="0"/>
        <w:snapToGrid/>
        <w:spacing w:before="75" w:after="75" w:line="360" w:lineRule="auto"/>
        <w:ind w:firstLine="42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）法人（包括企业、事业单位和社会团体）的</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现附上自    年   月   日至    年   月   日我方缴纳的社会保险凭据（限：税务机关/社会保障资金管理机关的专用收据或社会保险缴纳清单，或社会保险的银行缴款收讫凭证）复印件，上述证明材料真实有效，否则我方负全部责任。</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）非法人（包括其他组织、自然人）的</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自    年   月   日至    年   月   日我方缴纳的社会保险凭据（限：税务机关/社会保障资金管理机关的专用收据或社会保险缴纳清单，或社会保险的银行缴款收讫凭证）复印件，上述证明材料真实有效，否则我方负全部责任。</w:t>
      </w:r>
    </w:p>
    <w:p>
      <w:pPr>
        <w:keepNext w:val="0"/>
        <w:keepLines w:val="0"/>
        <w:pageBreakBefore w:val="0"/>
        <w:widowControl/>
        <w:kinsoku/>
        <w:wordWrap/>
        <w:overflowPunct/>
        <w:topLinePunct w:val="0"/>
        <w:bidi w:val="0"/>
        <w:snapToGrid/>
        <w:spacing w:before="75" w:after="75" w:line="360" w:lineRule="auto"/>
        <w:ind w:firstLine="482" w:firstLineChars="200"/>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2、依法不需要缴纳社会保障资金的供应商</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）现附上我方依法不需要缴纳社会保障资金证明材料复印件，上述证明材料真实有效，否则我方负全部责任。</w:t>
      </w:r>
    </w:p>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★注意：</w:t>
      </w: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1、请供应商根据实际情况填写，在相应的（）中打“√”，并按照本格式的要求提供相应证明材料的复印件。</w:t>
      </w: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2、供应商提供的社会保险凭据复印件应符合下列规定：</w:t>
      </w: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2.1首次响应文件递交截止时间前（不含截止时间的当月）已依法缴纳社会保障资金的投供应商，提供首次响应文件递交截止时间前六个月（不含截止时间的当月）中任一月份的社会保险凭据复印件。</w:t>
      </w: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2.2首次响应文件递交截止时间的当月成立且已依法缴纳社会保障资金的供应商，提供首次响应文件递交截止时间当月的社会保险凭据复印件。</w:t>
      </w: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2.3首次响应文件递交截止时间的当月成立但因税务机关/社会保障资金管理机关原因而尚未依法缴纳社会保障资金的供应商，提供依法缴纳社会保障资金承诺书原件（格式自拟），该承诺书视同社会保险凭据。</w:t>
      </w: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3、供应商提供的相应证明材料复印件均应符合：内容完整、清晰、整洁，并由供应商加盖其单位公章。</w:t>
      </w: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b/>
          <w:bCs/>
          <w:color w:val="auto"/>
          <w:kern w:val="0"/>
          <w:sz w:val="24"/>
          <w:szCs w:val="24"/>
        </w:rPr>
        <w:t>“依法缴纳社会保障资金证明材料”</w:t>
      </w:r>
      <w:r>
        <w:rPr>
          <w:rFonts w:hint="eastAsia" w:ascii="宋体" w:hAnsi="宋体" w:eastAsia="宋体" w:cs="宋体"/>
          <w:color w:val="auto"/>
          <w:kern w:val="0"/>
          <w:sz w:val="24"/>
          <w:szCs w:val="24"/>
        </w:rPr>
        <w:t>有欠缴记录的，视为</w:t>
      </w:r>
      <w:r>
        <w:rPr>
          <w:rFonts w:hint="eastAsia" w:ascii="宋体" w:hAnsi="宋体" w:eastAsia="宋体" w:cs="宋体"/>
          <w:b/>
          <w:bCs/>
          <w:color w:val="auto"/>
          <w:kern w:val="0"/>
          <w:sz w:val="24"/>
          <w:szCs w:val="24"/>
        </w:rPr>
        <w:t>未依法缴纳社会保障资金</w:t>
      </w:r>
      <w:r>
        <w:rPr>
          <w:rFonts w:hint="eastAsia" w:ascii="宋体" w:hAnsi="宋体" w:eastAsia="宋体" w:cs="宋体"/>
          <w:color w:val="auto"/>
          <w:kern w:val="0"/>
          <w:sz w:val="24"/>
          <w:szCs w:val="24"/>
        </w:rPr>
        <w:t>。</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5、对于接受联合体形式的谈判且供应商是联合体的，则联合体各成员都应当提交本资格证明文件。 </w:t>
      </w:r>
    </w:p>
    <w:p>
      <w:pPr>
        <w:pStyle w:val="2"/>
        <w:keepNext w:val="0"/>
        <w:keepLines w:val="0"/>
        <w:pageBreakBefore w:val="0"/>
        <w:kinsoku/>
        <w:wordWrap/>
        <w:overflowPunct/>
        <w:topLinePunct w:val="0"/>
        <w:bidi w:val="0"/>
        <w:snapToGrid/>
        <w:spacing w:line="360" w:lineRule="auto"/>
        <w:textAlignment w:val="auto"/>
        <w:rPr>
          <w:rFonts w:ascii="宋体" w:hAnsi="宋体" w:cs="宋体"/>
          <w:color w:val="auto"/>
        </w:rPr>
      </w:pPr>
    </w:p>
    <w:p>
      <w:pPr>
        <w:pStyle w:val="2"/>
        <w:keepNext w:val="0"/>
        <w:keepLines w:val="0"/>
        <w:pageBreakBefore w:val="0"/>
        <w:kinsoku/>
        <w:wordWrap/>
        <w:overflowPunct/>
        <w:topLinePunct w:val="0"/>
        <w:bidi w:val="0"/>
        <w:snapToGrid/>
        <w:spacing w:line="360" w:lineRule="auto"/>
        <w:textAlignment w:val="auto"/>
        <w:rPr>
          <w:rFonts w:ascii="宋体" w:hAnsi="宋体" w:cs="宋体"/>
          <w:color w:val="auto"/>
        </w:rPr>
      </w:pPr>
    </w:p>
    <w:p>
      <w:pPr>
        <w:pStyle w:val="2"/>
        <w:keepNext w:val="0"/>
        <w:keepLines w:val="0"/>
        <w:pageBreakBefore w:val="0"/>
        <w:kinsoku/>
        <w:wordWrap/>
        <w:overflowPunct/>
        <w:topLinePunct w:val="0"/>
        <w:bidi w:val="0"/>
        <w:snapToGrid/>
        <w:spacing w:line="360" w:lineRule="auto"/>
        <w:textAlignment w:val="auto"/>
        <w:rPr>
          <w:rFonts w:ascii="宋体" w:hAnsi="宋体" w:cs="宋体"/>
          <w:color w:val="auto"/>
        </w:rPr>
      </w:pP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供应商代表：          （签字）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供应商名称：       （全称并加盖公章）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日  期：     年    月    日</w:t>
      </w:r>
      <w:r>
        <w:rPr>
          <w:rFonts w:hint="eastAsia" w:ascii="宋体" w:hAnsi="宋体" w:eastAsia="宋体" w:cs="宋体"/>
          <w:color w:val="auto"/>
          <w:kern w:val="0"/>
          <w:sz w:val="24"/>
          <w:szCs w:val="24"/>
        </w:rPr>
        <w:br w:type="textWrapping"/>
      </w:r>
    </w:p>
    <w:p>
      <w:pPr>
        <w:keepNext w:val="0"/>
        <w:keepLines w:val="0"/>
        <w:pageBreakBefore w:val="0"/>
        <w:kinsoku/>
        <w:wordWrap/>
        <w:overflowPunct/>
        <w:topLinePunct w:val="0"/>
        <w:bidi w:val="0"/>
        <w:snapToGrid/>
        <w:spacing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br w:type="page"/>
      </w:r>
    </w:p>
    <w:p>
      <w:pPr>
        <w:keepNext w:val="0"/>
        <w:keepLines w:val="0"/>
        <w:pageBreakBefore w:val="0"/>
        <w:widowControl/>
        <w:kinsoku/>
        <w:wordWrap/>
        <w:overflowPunct/>
        <w:topLinePunct w:val="0"/>
        <w:bidi w:val="0"/>
        <w:snapToGrid/>
        <w:spacing w:before="75" w:after="75" w:line="360" w:lineRule="auto"/>
        <w:textAlignment w:val="auto"/>
        <w:outlineLvl w:val="1"/>
        <w:rPr>
          <w:rFonts w:ascii="宋体" w:hAnsi="宋体" w:eastAsia="宋体" w:cs="宋体"/>
          <w:color w:val="auto"/>
          <w:kern w:val="0"/>
          <w:sz w:val="24"/>
          <w:szCs w:val="24"/>
        </w:rPr>
      </w:pPr>
      <w:r>
        <w:rPr>
          <w:rFonts w:hint="eastAsia" w:ascii="宋体" w:hAnsi="宋体" w:eastAsia="宋体" w:cs="宋体"/>
          <w:color w:val="auto"/>
          <w:kern w:val="0"/>
          <w:sz w:val="24"/>
          <w:szCs w:val="24"/>
        </w:rPr>
        <w:t>附件3-8   </w:t>
      </w:r>
    </w:p>
    <w:p>
      <w:pPr>
        <w:keepNext w:val="0"/>
        <w:keepLines w:val="0"/>
        <w:pageBreakBefore w:val="0"/>
        <w:widowControl/>
        <w:kinsoku/>
        <w:wordWrap/>
        <w:overflowPunct/>
        <w:topLinePunct w:val="0"/>
        <w:bidi w:val="0"/>
        <w:snapToGrid/>
        <w:spacing w:before="75" w:after="75" w:line="360" w:lineRule="auto"/>
        <w:jc w:val="center"/>
        <w:textAlignment w:val="auto"/>
        <w:outlineLvl w:val="1"/>
        <w:rPr>
          <w:rFonts w:ascii="宋体" w:hAnsi="宋体" w:eastAsia="宋体" w:cs="宋体"/>
          <w:color w:val="auto"/>
          <w:kern w:val="0"/>
          <w:sz w:val="24"/>
          <w:szCs w:val="24"/>
        </w:rPr>
      </w:pPr>
      <w:r>
        <w:rPr>
          <w:rFonts w:hint="eastAsia" w:ascii="宋体" w:hAnsi="宋体" w:eastAsia="宋体" w:cs="宋体"/>
          <w:b/>
          <w:bCs/>
          <w:color w:val="auto"/>
          <w:kern w:val="0"/>
          <w:sz w:val="28"/>
          <w:szCs w:val="28"/>
        </w:rPr>
        <w:t>具备履行合同所必需设备和专业技术能力证明材料声明函</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致：(采购人或采购代理机构)       </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我方具备履行合同所必需的设备和专业技术能力，并对本声明承诺的真实性负责，否则产生不利后果由我方承担责任。</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特此声明。</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★注意：</w:t>
      </w:r>
    </w:p>
    <w:p>
      <w:pPr>
        <w:keepNext w:val="0"/>
        <w:keepLines w:val="0"/>
        <w:pageBreakBefore w:val="0"/>
        <w:widowControl/>
        <w:kinsoku/>
        <w:wordWrap/>
        <w:overflowPunct/>
        <w:topLinePunct w:val="0"/>
        <w:bidi w:val="0"/>
        <w:snapToGrid/>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b/>
          <w:bCs/>
          <w:color w:val="auto"/>
          <w:kern w:val="0"/>
          <w:sz w:val="24"/>
          <w:szCs w:val="24"/>
        </w:rPr>
        <w:t>谈判文件“供应商的资格”中特定资格条件如果没有特别规定，则由供应商在响应文件中按上述格式提供其具备履行合同所必需的设备和专业技术能力的声明即可，声明函应加盖供应商单位公章。</w:t>
      </w:r>
    </w:p>
    <w:p>
      <w:pPr>
        <w:keepNext w:val="0"/>
        <w:keepLines w:val="0"/>
        <w:pageBreakBefore w:val="0"/>
        <w:widowControl/>
        <w:kinsoku/>
        <w:wordWrap/>
        <w:overflowPunct/>
        <w:topLinePunct w:val="0"/>
        <w:bidi w:val="0"/>
        <w:snapToGrid/>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b/>
          <w:bCs/>
          <w:color w:val="auto"/>
          <w:kern w:val="0"/>
          <w:sz w:val="24"/>
          <w:szCs w:val="24"/>
        </w:rPr>
        <w:t>3.对于接受联合体形式的谈判且供应商是联合体的，则联合体各成员都应当提交本资格证明文件。</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供应商代表：          （签字）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供应商名称：       （全称并加盖公章）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日  期：     年    月    日</w:t>
      </w:r>
    </w:p>
    <w:p>
      <w:pPr>
        <w:keepNext w:val="0"/>
        <w:keepLines w:val="0"/>
        <w:pageBreakBefore w:val="0"/>
        <w:widowControl/>
        <w:kinsoku/>
        <w:wordWrap/>
        <w:overflowPunct/>
        <w:topLinePunct w:val="0"/>
        <w:bidi w:val="0"/>
        <w:snapToGrid/>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附件3-9 </w:t>
      </w:r>
    </w:p>
    <w:p>
      <w:pPr>
        <w:keepNext w:val="0"/>
        <w:keepLines w:val="0"/>
        <w:pageBreakBefore w:val="0"/>
        <w:widowControl/>
        <w:kinsoku/>
        <w:wordWrap/>
        <w:overflowPunct/>
        <w:topLinePunct w:val="0"/>
        <w:bidi w:val="0"/>
        <w:snapToGrid/>
        <w:spacing w:before="75" w:after="75" w:line="360" w:lineRule="auto"/>
        <w:jc w:val="center"/>
        <w:textAlignment w:val="auto"/>
        <w:rPr>
          <w:rFonts w:ascii="宋体" w:hAnsi="宋体" w:eastAsia="宋体" w:cs="宋体"/>
          <w:color w:val="auto"/>
          <w:kern w:val="0"/>
          <w:sz w:val="24"/>
          <w:szCs w:val="24"/>
        </w:rPr>
      </w:pPr>
      <w:r>
        <w:rPr>
          <w:rFonts w:hint="eastAsia" w:ascii="宋体" w:hAnsi="宋体" w:eastAsia="宋体" w:cs="宋体"/>
          <w:b/>
          <w:bCs/>
          <w:color w:val="auto"/>
          <w:kern w:val="0"/>
          <w:sz w:val="28"/>
          <w:szCs w:val="28"/>
        </w:rPr>
        <w:t>参加采购活动前三年内在经营活动中没有重大违法记录书面声明</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致：(采购人或采购代理机构)       </w:t>
      </w:r>
    </w:p>
    <w:p>
      <w:pPr>
        <w:keepNext w:val="0"/>
        <w:keepLines w:val="0"/>
        <w:pageBreakBefore w:val="0"/>
        <w:widowControl/>
        <w:kinsoku/>
        <w:wordWrap/>
        <w:overflowPunct/>
        <w:topLinePunct w:val="0"/>
        <w:bidi w:val="0"/>
        <w:snapToGrid/>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参加采购活动前三年内，我方在经营活动中没有重大违法记录，</w:t>
      </w:r>
      <w:r>
        <w:rPr>
          <w:rFonts w:hint="eastAsia" w:ascii="宋体" w:hAnsi="宋体" w:eastAsia="宋体" w:cs="宋体"/>
          <w:color w:val="auto"/>
          <w:kern w:val="0"/>
          <w:szCs w:val="21"/>
        </w:rPr>
        <w:t>也无行贿犯罪记录</w:t>
      </w:r>
      <w:r>
        <w:rPr>
          <w:rFonts w:hint="eastAsia" w:ascii="宋体" w:hAnsi="宋体" w:eastAsia="宋体" w:cs="宋体"/>
          <w:color w:val="auto"/>
          <w:kern w:val="0"/>
          <w:sz w:val="24"/>
          <w:szCs w:val="24"/>
        </w:rPr>
        <w:t>。</w:t>
      </w:r>
    </w:p>
    <w:p>
      <w:pPr>
        <w:keepNext w:val="0"/>
        <w:keepLines w:val="0"/>
        <w:pageBreakBefore w:val="0"/>
        <w:widowControl/>
        <w:kinsoku/>
        <w:wordWrap/>
        <w:overflowPunct/>
        <w:topLinePunct w:val="0"/>
        <w:bidi w:val="0"/>
        <w:snapToGrid/>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特此声明。</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★注意：</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1、“重大违法记录”指供应商因违法经营受到刑事处罚或责令停产停业、吊销许可证或执照、较大数额罚款等行政处罚。</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2、请供应商根据实际情况进行声明，若声明不真实，视为提供虚假材料。</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3、对于接受联合体形式的谈判且供应商是联合体的，则联合体各成员都应当提交本资格证明文件。</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供应商代表：          （签字）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供应商名称：       （全称并加盖公章）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日  期：     年    月    日</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br w:type="textWrapping"/>
      </w:r>
    </w:p>
    <w:p>
      <w:pPr>
        <w:keepNext w:val="0"/>
        <w:keepLines w:val="0"/>
        <w:pageBreakBefore w:val="0"/>
        <w:kinsoku/>
        <w:wordWrap/>
        <w:overflowPunct/>
        <w:topLinePunct w:val="0"/>
        <w:bidi w:val="0"/>
        <w:snapToGrid/>
        <w:spacing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br w:type="page"/>
      </w:r>
    </w:p>
    <w:p>
      <w:pPr>
        <w:keepNext w:val="0"/>
        <w:keepLines w:val="0"/>
        <w:pageBreakBefore w:val="0"/>
        <w:widowControl/>
        <w:kinsoku/>
        <w:wordWrap/>
        <w:overflowPunct/>
        <w:topLinePunct w:val="0"/>
        <w:bidi w:val="0"/>
        <w:snapToGrid/>
        <w:spacing w:before="75" w:after="75" w:line="360" w:lineRule="auto"/>
        <w:jc w:val="left"/>
        <w:textAlignment w:val="auto"/>
        <w:outlineLvl w:val="1"/>
        <w:rPr>
          <w:rFonts w:ascii="宋体" w:hAnsi="宋体" w:eastAsia="宋体" w:cs="宋体"/>
          <w:color w:val="auto"/>
          <w:kern w:val="0"/>
          <w:sz w:val="24"/>
          <w:szCs w:val="24"/>
        </w:rPr>
      </w:pPr>
      <w:r>
        <w:rPr>
          <w:rFonts w:hint="eastAsia" w:ascii="宋体" w:hAnsi="宋体" w:eastAsia="宋体" w:cs="宋体"/>
          <w:color w:val="auto"/>
          <w:kern w:val="0"/>
          <w:sz w:val="24"/>
          <w:szCs w:val="24"/>
        </w:rPr>
        <w:t>附件3-10       </w:t>
      </w:r>
    </w:p>
    <w:p>
      <w:pPr>
        <w:keepNext w:val="0"/>
        <w:keepLines w:val="0"/>
        <w:pageBreakBefore w:val="0"/>
        <w:widowControl/>
        <w:kinsoku/>
        <w:wordWrap/>
        <w:overflowPunct/>
        <w:topLinePunct w:val="0"/>
        <w:bidi w:val="0"/>
        <w:snapToGrid/>
        <w:spacing w:before="75" w:after="75" w:line="360" w:lineRule="auto"/>
        <w:jc w:val="center"/>
        <w:textAlignment w:val="auto"/>
        <w:outlineLvl w:val="1"/>
        <w:rPr>
          <w:rFonts w:ascii="宋体" w:hAnsi="宋体" w:eastAsia="宋体" w:cs="宋体"/>
          <w:color w:val="auto"/>
          <w:kern w:val="0"/>
          <w:sz w:val="24"/>
          <w:szCs w:val="24"/>
        </w:rPr>
      </w:pPr>
      <w:r>
        <w:rPr>
          <w:rFonts w:hint="eastAsia" w:ascii="宋体" w:hAnsi="宋体" w:eastAsia="宋体" w:cs="宋体"/>
          <w:b/>
          <w:bCs/>
          <w:color w:val="auto"/>
          <w:kern w:val="0"/>
          <w:sz w:val="28"/>
          <w:szCs w:val="28"/>
        </w:rPr>
        <w:t>信用记录查询结果</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致：(采购人或采购代理机构)     </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现附上截至   年   月   日   时我方通过“信用中国”网站（www.creditchina.gov.cn）获取的我方信用信息查询结果（填写具体份数）份、通过中国政府采购网（www.ccgp.gov.cn）获取的我方信用信息查询结果（填写具体份数）份，上述信用信息查询结果真实有效，否则我方负全部责任。</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★注意：</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1、供应商应</w:t>
      </w:r>
      <w:r>
        <w:rPr>
          <w:rFonts w:hint="eastAsia" w:ascii="宋体" w:hAnsi="宋体" w:eastAsia="宋体" w:cs="宋体"/>
          <w:b/>
          <w:bCs/>
          <w:color w:val="auto"/>
          <w:kern w:val="0"/>
          <w:sz w:val="24"/>
          <w:szCs w:val="24"/>
        </w:rPr>
        <w:t>同时提供</w:t>
      </w:r>
      <w:r>
        <w:rPr>
          <w:rFonts w:hint="eastAsia" w:ascii="宋体" w:hAnsi="宋体" w:eastAsia="宋体" w:cs="宋体"/>
          <w:color w:val="auto"/>
          <w:kern w:val="0"/>
          <w:sz w:val="24"/>
          <w:szCs w:val="24"/>
        </w:rPr>
        <w:t>在谈判文件要求的首次响应文件递交截止时点前通过上述2个网站获取的信用信息查询结果，信用信息查询结果应为从上述网站获取的查询结果原始页面的打印件或完整截图，</w:t>
      </w:r>
      <w:r>
        <w:rPr>
          <w:rFonts w:hint="eastAsia" w:ascii="宋体" w:hAnsi="宋体" w:eastAsia="宋体" w:cs="宋体"/>
          <w:b/>
          <w:bCs/>
          <w:color w:val="auto"/>
          <w:kern w:val="0"/>
          <w:sz w:val="24"/>
          <w:szCs w:val="24"/>
        </w:rPr>
        <w:t>否则其响应文件将被否决</w:t>
      </w:r>
      <w:r>
        <w:rPr>
          <w:rFonts w:hint="eastAsia" w:ascii="宋体" w:hAnsi="宋体" w:eastAsia="宋体" w:cs="宋体"/>
          <w:color w:val="auto"/>
          <w:kern w:val="0"/>
          <w:sz w:val="24"/>
          <w:szCs w:val="24"/>
        </w:rPr>
        <w:t>。</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2、若本项目接受联合体响应谈判且供应商为联合体，则联合体各成员均应</w:t>
      </w:r>
      <w:r>
        <w:rPr>
          <w:rFonts w:hint="eastAsia" w:ascii="宋体" w:hAnsi="宋体" w:eastAsia="宋体" w:cs="宋体"/>
          <w:b/>
          <w:bCs/>
          <w:color w:val="auto"/>
          <w:kern w:val="0"/>
          <w:sz w:val="24"/>
          <w:szCs w:val="24"/>
        </w:rPr>
        <w:t>同时提供</w:t>
      </w:r>
      <w:r>
        <w:rPr>
          <w:rFonts w:hint="eastAsia" w:ascii="宋体" w:hAnsi="宋体" w:eastAsia="宋体" w:cs="宋体"/>
          <w:color w:val="auto"/>
          <w:kern w:val="0"/>
          <w:sz w:val="24"/>
          <w:szCs w:val="24"/>
        </w:rPr>
        <w:t>在谈判文件要求的首次响应文件截止时点前通过上述2个网站获取的联合体各方的信用信息查询结果，信用信息查询结果应为从上述网站获取的查询结果原始页面的完整截图或打印件，</w:t>
      </w:r>
      <w:r>
        <w:rPr>
          <w:rFonts w:hint="eastAsia" w:ascii="宋体" w:hAnsi="宋体" w:eastAsia="宋体" w:cs="宋体"/>
          <w:b/>
          <w:bCs/>
          <w:color w:val="auto"/>
          <w:kern w:val="0"/>
          <w:sz w:val="24"/>
          <w:szCs w:val="24"/>
        </w:rPr>
        <w:t>否则其响应文件将被否决</w:t>
      </w:r>
      <w:r>
        <w:rPr>
          <w:rFonts w:hint="eastAsia" w:ascii="宋体" w:hAnsi="宋体" w:eastAsia="宋体" w:cs="宋体"/>
          <w:color w:val="auto"/>
          <w:kern w:val="0"/>
          <w:sz w:val="24"/>
          <w:szCs w:val="24"/>
        </w:rPr>
        <w:t>。</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3、联合体成员存在不良信用记录的，视同联合体存在不良信用记录，</w:t>
      </w:r>
      <w:r>
        <w:rPr>
          <w:rFonts w:hint="eastAsia" w:ascii="宋体" w:hAnsi="宋体" w:eastAsia="宋体" w:cs="宋体"/>
          <w:b/>
          <w:bCs/>
          <w:color w:val="auto"/>
          <w:kern w:val="0"/>
          <w:sz w:val="24"/>
          <w:szCs w:val="24"/>
        </w:rPr>
        <w:t>其响应文件将被否决</w:t>
      </w:r>
      <w:r>
        <w:rPr>
          <w:rFonts w:hint="eastAsia" w:ascii="宋体" w:hAnsi="宋体" w:eastAsia="宋体" w:cs="宋体"/>
          <w:color w:val="auto"/>
          <w:kern w:val="0"/>
          <w:sz w:val="24"/>
          <w:szCs w:val="24"/>
        </w:rPr>
        <w:t>。</w:t>
      </w:r>
    </w:p>
    <w:p>
      <w:pPr>
        <w:keepNext w:val="0"/>
        <w:keepLines w:val="0"/>
        <w:pageBreakBefore w:val="0"/>
        <w:widowControl/>
        <w:kinsoku/>
        <w:wordWrap/>
        <w:overflowPunct/>
        <w:topLinePunct w:val="0"/>
        <w:bidi w:val="0"/>
        <w:snapToGrid/>
        <w:spacing w:before="75" w:after="75" w:line="360" w:lineRule="auto"/>
        <w:ind w:firstLine="482" w:firstLineChars="200"/>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※除上述规定外，信用记录的其他有关规定（包括但不限于：信用信息的查询渠道及截止时点、查询记录和证据留存的具体方式、使用规则等内容）详见谈判文件第一章。</w:t>
      </w: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供应商代表：          （签字）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供应商名称：       （全称并加盖公章）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日  期：     年    月    日</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b/>
          <w:bCs/>
          <w:color w:val="auto"/>
          <w:kern w:val="0"/>
          <w:sz w:val="24"/>
          <w:szCs w:val="24"/>
        </w:rPr>
      </w:pPr>
      <w:r>
        <w:rPr>
          <w:rFonts w:hint="eastAsia" w:ascii="宋体" w:hAnsi="宋体" w:eastAsia="宋体" w:cs="宋体"/>
          <w:color w:val="auto"/>
          <w:kern w:val="0"/>
          <w:sz w:val="24"/>
          <w:szCs w:val="24"/>
        </w:rPr>
        <w:t>附件3-11      </w:t>
      </w:r>
      <w:r>
        <w:rPr>
          <w:rFonts w:hint="eastAsia" w:ascii="宋体" w:hAnsi="宋体" w:eastAsia="宋体" w:cs="宋体"/>
          <w:b/>
          <w:bCs/>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center"/>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联合体协议</w:t>
      </w:r>
    </w:p>
    <w:p>
      <w:pPr>
        <w:keepNext w:val="0"/>
        <w:keepLines w:val="0"/>
        <w:pageBreakBefore w:val="0"/>
        <w:widowControl/>
        <w:kinsoku/>
        <w:wordWrap/>
        <w:overflowPunct/>
        <w:topLinePunct w:val="0"/>
        <w:bidi w:val="0"/>
        <w:snapToGrid/>
        <w:spacing w:before="75" w:after="75" w:line="360" w:lineRule="auto"/>
        <w:jc w:val="center"/>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（接受联合体的项目使用）</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致：(采购人或采购代理机构)     </w:t>
      </w:r>
    </w:p>
    <w:p>
      <w:pPr>
        <w:keepNext w:val="0"/>
        <w:keepLines w:val="0"/>
        <w:pageBreakBefore w:val="0"/>
        <w:widowControl/>
        <w:kinsoku/>
        <w:wordWrap/>
        <w:overflowPunct/>
        <w:topLinePunct w:val="0"/>
        <w:bidi w:val="0"/>
        <w:snapToGrid/>
        <w:spacing w:before="75" w:after="75" w:line="360"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兹有（填写“联合体中各方的全称”，各方的全称之间请用“、”分割）自愿组成联合体，共同参加（填写 “项目名称” ） 项目（项目编号：       ）的响应谈判。现就联合体参加本项目响应谈判的有关事宜达成下列协议：</w:t>
      </w:r>
    </w:p>
    <w:p>
      <w:pPr>
        <w:keepNext w:val="0"/>
        <w:keepLines w:val="0"/>
        <w:pageBreakBefore w:val="0"/>
        <w:widowControl/>
        <w:numPr>
          <w:ilvl w:val="0"/>
          <w:numId w:val="9"/>
        </w:numPr>
        <w:kinsoku/>
        <w:wordWrap/>
        <w:overflowPunct/>
        <w:topLinePunct w:val="0"/>
        <w:bidi w:val="0"/>
        <w:snapToGrid/>
        <w:spacing w:before="75" w:after="75" w:line="360" w:lineRule="auto"/>
        <w:ind w:left="239" w:leftChars="114" w:firstLine="240" w:firstLineChars="1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联合体各方应承担的工作和义务具体如下：</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1、联合体牵头方单位名称：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（填写“工作及义务的具体内容”）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2、联合体成员方单位名称：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2.1（成员一的全称）： （填写“工作及义务的具体内容”） ；</w:t>
      </w:r>
    </w:p>
    <w:p>
      <w:pPr>
        <w:keepNext w:val="0"/>
        <w:keepLines w:val="0"/>
        <w:pageBreakBefore w:val="0"/>
        <w:widowControl/>
        <w:kinsoku/>
        <w:wordWrap/>
        <w:overflowPunct/>
        <w:topLinePunct w:val="0"/>
        <w:bidi w:val="0"/>
        <w:snapToGrid/>
        <w:spacing w:before="75" w:after="75" w:line="360" w:lineRule="auto"/>
        <w:ind w:firstLine="48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二、联合体各方约定由（填写“牵头方的全称”）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keepNext w:val="0"/>
        <w:keepLines w:val="0"/>
        <w:pageBreakBefore w:val="0"/>
        <w:widowControl/>
        <w:kinsoku/>
        <w:wordWrap/>
        <w:overflowPunct/>
        <w:topLinePunct w:val="0"/>
        <w:bidi w:val="0"/>
        <w:snapToGrid/>
        <w:spacing w:before="75" w:after="75" w:line="360"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三、联合体各方约定由（填写填写“牵头方的全称”）代表联合体办理。</w:t>
      </w:r>
    </w:p>
    <w:p>
      <w:pPr>
        <w:keepNext w:val="0"/>
        <w:keepLines w:val="0"/>
        <w:pageBreakBefore w:val="0"/>
        <w:widowControl/>
        <w:kinsoku/>
        <w:wordWrap/>
        <w:overflowPunct/>
        <w:topLinePunct w:val="0"/>
        <w:bidi w:val="0"/>
        <w:snapToGrid/>
        <w:spacing w:before="75" w:after="75" w:line="360"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四、若成交，牵头方将代表联合体与采购人就合同签订事宜进行协商；若协商一致，则联合体各方将共同与采购人签订政府采购合同，并就政府采购合同约定的事项对采购人承担连带责任。</w:t>
      </w:r>
    </w:p>
    <w:p>
      <w:pPr>
        <w:keepNext w:val="0"/>
        <w:keepLines w:val="0"/>
        <w:pageBreakBefore w:val="0"/>
        <w:widowControl/>
        <w:kinsoku/>
        <w:wordWrap/>
        <w:overflowPunct/>
        <w:topLinePunct w:val="0"/>
        <w:bidi w:val="0"/>
        <w:snapToGrid/>
        <w:spacing w:before="75" w:after="75" w:line="360"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五、本协议自签署之日起生效，政府采购合同履行完毕后自动失效。</w:t>
      </w:r>
    </w:p>
    <w:p>
      <w:pPr>
        <w:keepNext w:val="0"/>
        <w:keepLines w:val="0"/>
        <w:pageBreakBefore w:val="0"/>
        <w:widowControl/>
        <w:kinsoku/>
        <w:wordWrap/>
        <w:overflowPunct/>
        <w:topLinePunct w:val="0"/>
        <w:bidi w:val="0"/>
        <w:snapToGrid/>
        <w:spacing w:before="75" w:after="75" w:line="360"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六、本协议一式（填写具体份数）份，联合体各方各执一份，响应文件中提交一份。</w:t>
      </w:r>
    </w:p>
    <w:p>
      <w:pPr>
        <w:keepNext w:val="0"/>
        <w:keepLines w:val="0"/>
        <w:pageBreakBefore w:val="0"/>
        <w:widowControl/>
        <w:kinsoku/>
        <w:wordWrap/>
        <w:overflowPunct/>
        <w:topLinePunct w:val="0"/>
        <w:bidi w:val="0"/>
        <w:snapToGrid/>
        <w:spacing w:before="75" w:after="75"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（以下无正文）</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牵头方：（全称并加盖单位公章）</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供应商代表：  （签字或盖章）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成员一：（全称并加盖成员一的单位公章）</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供应商代表：  （签字或盖章）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成员**：（全称并加盖成员**的单位公章）</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供应商代表：  （签字或盖章）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签署日期：    年    月    日</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★注意：</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1、若谈判文件规定接受联合体形式且供应商为联合体的，则供应商应提供本协议；否则无须提供。</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2、本协议中的供应商代表如果不是竞争性谈判须知中定义的“单位负责人”，则还必须提供“单位负责人授权书”。</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3、若谈判文件规定接受联合体形式且供应商为联合体的，纸质响应文件正本中的本协议应为原件。</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br w:type="textWrapping"/>
      </w:r>
    </w:p>
    <w:p>
      <w:pPr>
        <w:keepNext w:val="0"/>
        <w:keepLines w:val="0"/>
        <w:pageBreakBefore w:val="0"/>
        <w:kinsoku/>
        <w:wordWrap/>
        <w:overflowPunct/>
        <w:topLinePunct w:val="0"/>
        <w:bidi w:val="0"/>
        <w:snapToGrid/>
        <w:spacing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br w:type="page"/>
      </w:r>
    </w:p>
    <w:p>
      <w:pPr>
        <w:keepNext w:val="0"/>
        <w:keepLines w:val="0"/>
        <w:pageBreakBefore w:val="0"/>
        <w:widowControl/>
        <w:kinsoku/>
        <w:wordWrap/>
        <w:overflowPunct/>
        <w:topLinePunct w:val="0"/>
        <w:bidi w:val="0"/>
        <w:snapToGrid/>
        <w:spacing w:before="75" w:after="75" w:line="360" w:lineRule="auto"/>
        <w:jc w:val="left"/>
        <w:textAlignment w:val="auto"/>
        <w:outlineLvl w:val="1"/>
        <w:rPr>
          <w:rFonts w:ascii="宋体" w:hAnsi="宋体" w:eastAsia="宋体" w:cs="宋体"/>
          <w:color w:val="auto"/>
          <w:kern w:val="0"/>
          <w:sz w:val="24"/>
          <w:szCs w:val="24"/>
        </w:rPr>
      </w:pPr>
      <w:r>
        <w:rPr>
          <w:rFonts w:hint="eastAsia" w:ascii="宋体" w:hAnsi="宋体" w:eastAsia="宋体" w:cs="宋体"/>
          <w:color w:val="auto"/>
          <w:kern w:val="0"/>
          <w:sz w:val="24"/>
          <w:szCs w:val="24"/>
        </w:rPr>
        <w:t>附件3-12         </w:t>
      </w:r>
    </w:p>
    <w:p>
      <w:pPr>
        <w:keepNext w:val="0"/>
        <w:keepLines w:val="0"/>
        <w:pageBreakBefore w:val="0"/>
        <w:widowControl/>
        <w:kinsoku/>
        <w:wordWrap/>
        <w:overflowPunct/>
        <w:topLinePunct w:val="0"/>
        <w:bidi w:val="0"/>
        <w:snapToGrid/>
        <w:spacing w:before="75" w:after="75" w:line="360" w:lineRule="auto"/>
        <w:jc w:val="center"/>
        <w:textAlignment w:val="auto"/>
        <w:outlineLvl w:val="1"/>
        <w:rPr>
          <w:rFonts w:ascii="宋体" w:hAnsi="宋体" w:eastAsia="宋体" w:cs="宋体"/>
          <w:color w:val="auto"/>
          <w:kern w:val="0"/>
          <w:sz w:val="24"/>
          <w:szCs w:val="24"/>
        </w:rPr>
      </w:pPr>
      <w:r>
        <w:rPr>
          <w:rFonts w:hint="eastAsia" w:ascii="宋体" w:hAnsi="宋体" w:eastAsia="宋体" w:cs="宋体"/>
          <w:b/>
          <w:bCs/>
          <w:color w:val="auto"/>
          <w:kern w:val="0"/>
          <w:sz w:val="24"/>
          <w:szCs w:val="24"/>
        </w:rPr>
        <w:t>其它资格证明文件</w:t>
      </w:r>
    </w:p>
    <w:p>
      <w:pPr>
        <w:keepNext w:val="0"/>
        <w:keepLines w:val="0"/>
        <w:pageBreakBefore w:val="0"/>
        <w:widowControl/>
        <w:kinsoku/>
        <w:wordWrap/>
        <w:overflowPunct/>
        <w:topLinePunct w:val="0"/>
        <w:bidi w:val="0"/>
        <w:snapToGrid/>
        <w:spacing w:before="75" w:after="75" w:line="360" w:lineRule="auto"/>
        <w:jc w:val="center"/>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（若有）</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keepNext w:val="0"/>
        <w:keepLines w:val="0"/>
        <w:pageBreakBefore w:val="0"/>
        <w:widowControl/>
        <w:numPr>
          <w:ilvl w:val="0"/>
          <w:numId w:val="8"/>
        </w:numPr>
        <w:kinsoku/>
        <w:wordWrap/>
        <w:overflowPunct/>
        <w:topLinePunct w:val="0"/>
        <w:bidi w:val="0"/>
        <w:snapToGrid/>
        <w:spacing w:before="75" w:after="75" w:line="360" w:lineRule="auto"/>
        <w:ind w:left="479" w:leftChars="228"/>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若谈判文件规定接受联合体形式且供应商为联合体的，涉及联合体成员的其它资格证明文件在此处提供相关证明材料，并加盖供应商单位公章。</w:t>
      </w:r>
    </w:p>
    <w:p>
      <w:pPr>
        <w:pStyle w:val="2"/>
        <w:keepNext w:val="0"/>
        <w:keepLines w:val="0"/>
        <w:pageBreakBefore w:val="0"/>
        <w:numPr>
          <w:ilvl w:val="0"/>
          <w:numId w:val="8"/>
        </w:numPr>
        <w:kinsoku/>
        <w:wordWrap/>
        <w:overflowPunct/>
        <w:topLinePunct w:val="0"/>
        <w:bidi w:val="0"/>
        <w:snapToGrid/>
        <w:spacing w:line="360" w:lineRule="auto"/>
        <w:ind w:left="479" w:leftChars="228"/>
        <w:textAlignment w:val="auto"/>
        <w:rPr>
          <w:color w:val="auto"/>
        </w:rPr>
      </w:pPr>
    </w:p>
    <w:p>
      <w:pPr>
        <w:keepNext w:val="0"/>
        <w:keepLines w:val="0"/>
        <w:pageBreakBefore w:val="0"/>
        <w:widowControl/>
        <w:kinsoku/>
        <w:wordWrap/>
        <w:overflowPunct/>
        <w:topLinePunct w:val="0"/>
        <w:bidi w:val="0"/>
        <w:snapToGrid/>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供应商代表：          （签字）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供应商名称：       （全称并加盖公章）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日  期：     年    月    日</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br w:type="textWrapping"/>
      </w:r>
    </w:p>
    <w:p>
      <w:pPr>
        <w:keepNext w:val="0"/>
        <w:keepLines w:val="0"/>
        <w:pageBreakBefore w:val="0"/>
        <w:kinsoku/>
        <w:wordWrap/>
        <w:overflowPunct/>
        <w:topLinePunct w:val="0"/>
        <w:bidi w:val="0"/>
        <w:snapToGrid/>
        <w:spacing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br w:type="page"/>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b/>
          <w:bCs/>
          <w:color w:val="auto"/>
          <w:kern w:val="0"/>
          <w:sz w:val="24"/>
          <w:szCs w:val="24"/>
        </w:rPr>
      </w:pPr>
      <w:r>
        <w:rPr>
          <w:rFonts w:hint="eastAsia" w:ascii="宋体" w:hAnsi="宋体" w:eastAsia="宋体" w:cs="宋体"/>
          <w:color w:val="auto"/>
          <w:kern w:val="0"/>
          <w:sz w:val="24"/>
          <w:szCs w:val="24"/>
        </w:rPr>
        <w:t>附件</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-1  </w:t>
      </w:r>
      <w:r>
        <w:rPr>
          <w:rFonts w:hint="eastAsia" w:ascii="宋体" w:hAnsi="宋体" w:eastAsia="宋体" w:cs="宋体"/>
          <w:b/>
          <w:bCs/>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center"/>
        <w:textAlignment w:val="auto"/>
        <w:outlineLvl w:val="1"/>
        <w:rPr>
          <w:rFonts w:ascii="宋体" w:hAnsi="宋体" w:eastAsia="宋体" w:cs="宋体"/>
          <w:color w:val="auto"/>
          <w:kern w:val="0"/>
          <w:sz w:val="28"/>
          <w:szCs w:val="28"/>
        </w:rPr>
      </w:pPr>
      <w:r>
        <w:rPr>
          <w:rFonts w:hint="eastAsia" w:ascii="宋体" w:hAnsi="宋体" w:eastAsia="宋体" w:cs="宋体"/>
          <w:b/>
          <w:bCs/>
          <w:color w:val="auto"/>
          <w:kern w:val="0"/>
          <w:sz w:val="28"/>
          <w:szCs w:val="28"/>
        </w:rPr>
        <w:t>技术和服务要求响应表</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供应商名称： （全称加盖单位公章）  项目编号∶       </w:t>
      </w:r>
    </w:p>
    <w:tbl>
      <w:tblPr>
        <w:tblStyle w:val="10"/>
        <w:tblW w:w="8435"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9"/>
        <w:gridCol w:w="1408"/>
        <w:gridCol w:w="2336"/>
        <w:gridCol w:w="2032"/>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blCellSpacing w:w="15" w:type="dxa"/>
        </w:trPr>
        <w:tc>
          <w:tcPr>
            <w:tcW w:w="684"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合同包</w:t>
            </w:r>
          </w:p>
        </w:tc>
        <w:tc>
          <w:tcPr>
            <w:tcW w:w="1378"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章节条目号</w:t>
            </w:r>
          </w:p>
        </w:tc>
        <w:tc>
          <w:tcPr>
            <w:tcW w:w="230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竞争性谈判文件规定的技术和服务要求</w:t>
            </w:r>
          </w:p>
        </w:tc>
        <w:tc>
          <w:tcPr>
            <w:tcW w:w="2002"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响应文件响应承诺</w:t>
            </w:r>
          </w:p>
        </w:tc>
        <w:tc>
          <w:tcPr>
            <w:tcW w:w="1885"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4"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378"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30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002"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885"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4"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378"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30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002"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885"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4"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378"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30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002"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885"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4"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378"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30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002"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885"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4"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378"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30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002"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885"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4"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378"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30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002"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885"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4"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378"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30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002"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885"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4"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378"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30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002"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885"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4"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378"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30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002"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885"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4"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378"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30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002"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885"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4"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378"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30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002"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885"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bl>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b/>
          <w:bCs/>
          <w:color w:val="auto"/>
          <w:kern w:val="0"/>
        </w:rPr>
      </w:pPr>
    </w:p>
    <w:p>
      <w:pPr>
        <w:keepNext w:val="0"/>
        <w:keepLines w:val="0"/>
        <w:pageBreakBefore w:val="0"/>
        <w:widowControl/>
        <w:kinsoku/>
        <w:wordWrap/>
        <w:overflowPunct/>
        <w:topLinePunct w:val="0"/>
        <w:bidi w:val="0"/>
        <w:snapToGrid/>
        <w:spacing w:before="75" w:after="75" w:line="360" w:lineRule="auto"/>
        <w:ind w:firstLine="422" w:firstLineChars="200"/>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给采购人和采购代理机构造成损失的，还必须进行赔偿并负相关责任。</w:t>
      </w:r>
    </w:p>
    <w:p>
      <w:pPr>
        <w:keepNext w:val="0"/>
        <w:keepLines w:val="0"/>
        <w:pageBreakBefore w:val="0"/>
        <w:widowControl/>
        <w:kinsoku/>
        <w:wordWrap/>
        <w:overflowPunct/>
        <w:topLinePunct w:val="0"/>
        <w:bidi w:val="0"/>
        <w:snapToGrid/>
        <w:spacing w:before="75" w:after="75" w:line="360" w:lineRule="auto"/>
        <w:ind w:firstLine="422" w:firstLineChars="200"/>
        <w:jc w:val="left"/>
        <w:textAlignment w:val="auto"/>
        <w:rPr>
          <w:rFonts w:ascii="宋体" w:hAnsi="宋体" w:eastAsia="宋体" w:cs="宋体"/>
          <w:b/>
          <w:bCs/>
          <w:color w:val="auto"/>
          <w:kern w:val="0"/>
        </w:rPr>
      </w:pPr>
      <w:r>
        <w:rPr>
          <w:rFonts w:hint="eastAsia" w:ascii="宋体" w:hAnsi="宋体" w:eastAsia="宋体" w:cs="宋体"/>
          <w:b/>
          <w:bCs/>
          <w:color w:val="auto"/>
          <w:kern w:val="0"/>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2"/>
        <w:keepNext w:val="0"/>
        <w:keepLines w:val="0"/>
        <w:pageBreakBefore w:val="0"/>
        <w:kinsoku/>
        <w:wordWrap/>
        <w:overflowPunct/>
        <w:topLinePunct w:val="0"/>
        <w:bidi w:val="0"/>
        <w:snapToGrid/>
        <w:spacing w:line="360" w:lineRule="auto"/>
        <w:textAlignment w:val="auto"/>
        <w:rPr>
          <w:color w:val="auto"/>
        </w:rPr>
      </w:pPr>
    </w:p>
    <w:p>
      <w:pPr>
        <w:pStyle w:val="2"/>
        <w:keepNext w:val="0"/>
        <w:keepLines w:val="0"/>
        <w:pageBreakBefore w:val="0"/>
        <w:kinsoku/>
        <w:wordWrap/>
        <w:overflowPunct/>
        <w:topLinePunct w:val="0"/>
        <w:bidi w:val="0"/>
        <w:snapToGrid/>
        <w:spacing w:line="360" w:lineRule="auto"/>
        <w:textAlignment w:val="auto"/>
        <w:rPr>
          <w:color w:val="auto"/>
        </w:rPr>
      </w:pPr>
    </w:p>
    <w:p>
      <w:pPr>
        <w:pStyle w:val="2"/>
        <w:keepNext w:val="0"/>
        <w:keepLines w:val="0"/>
        <w:pageBreakBefore w:val="0"/>
        <w:kinsoku/>
        <w:wordWrap/>
        <w:overflowPunct/>
        <w:topLinePunct w:val="0"/>
        <w:bidi w:val="0"/>
        <w:snapToGrid/>
        <w:spacing w:line="360" w:lineRule="auto"/>
        <w:textAlignment w:val="auto"/>
        <w:rPr>
          <w:color w:val="auto"/>
        </w:rPr>
      </w:pP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供应商代表签字： _________________</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br w:type="page"/>
      </w:r>
    </w:p>
    <w:p>
      <w:pPr>
        <w:keepNext w:val="0"/>
        <w:keepLines w:val="0"/>
        <w:pageBreakBefore w:val="0"/>
        <w:widowControl/>
        <w:kinsoku/>
        <w:wordWrap/>
        <w:overflowPunct/>
        <w:topLinePunct w:val="0"/>
        <w:bidi w:val="0"/>
        <w:snapToGrid/>
        <w:spacing w:before="75" w:after="75" w:line="360" w:lineRule="auto"/>
        <w:jc w:val="left"/>
        <w:textAlignment w:val="auto"/>
        <w:outlineLvl w:val="1"/>
        <w:rPr>
          <w:rFonts w:ascii="宋体" w:hAnsi="宋体" w:eastAsia="宋体" w:cs="宋体"/>
          <w:b/>
          <w:bCs/>
          <w:color w:val="auto"/>
          <w:kern w:val="0"/>
          <w:sz w:val="24"/>
          <w:szCs w:val="24"/>
        </w:rPr>
      </w:pPr>
      <w:r>
        <w:rPr>
          <w:rFonts w:hint="eastAsia" w:ascii="宋体" w:hAnsi="宋体" w:eastAsia="宋体" w:cs="宋体"/>
          <w:color w:val="auto"/>
          <w:kern w:val="0"/>
          <w:sz w:val="24"/>
          <w:szCs w:val="24"/>
        </w:rPr>
        <w:t>附件</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-2      </w:t>
      </w:r>
      <w:r>
        <w:rPr>
          <w:rFonts w:hint="eastAsia" w:ascii="宋体" w:hAnsi="宋体" w:eastAsia="宋体" w:cs="宋体"/>
          <w:b/>
          <w:bCs/>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center"/>
        <w:textAlignment w:val="auto"/>
        <w:outlineLvl w:val="1"/>
        <w:rPr>
          <w:rFonts w:ascii="宋体" w:hAnsi="宋体" w:eastAsia="宋体" w:cs="宋体"/>
          <w:color w:val="auto"/>
          <w:kern w:val="0"/>
          <w:sz w:val="24"/>
          <w:szCs w:val="24"/>
        </w:rPr>
      </w:pPr>
      <w:r>
        <w:rPr>
          <w:rFonts w:hint="eastAsia" w:ascii="宋体" w:hAnsi="宋体" w:eastAsia="宋体" w:cs="宋体"/>
          <w:b/>
          <w:bCs/>
          <w:color w:val="auto"/>
          <w:kern w:val="0"/>
          <w:sz w:val="28"/>
          <w:szCs w:val="28"/>
        </w:rPr>
        <w:t>商务条件和其它事项响应表</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供应商名称： （全称加盖单位公章）  项目编号∶       </w:t>
      </w:r>
    </w:p>
    <w:tbl>
      <w:tblPr>
        <w:tblStyle w:val="10"/>
        <w:tblW w:w="768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8"/>
        <w:gridCol w:w="1408"/>
        <w:gridCol w:w="2336"/>
        <w:gridCol w:w="2046"/>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blCellSpacing w:w="15" w:type="dxa"/>
        </w:trPr>
        <w:tc>
          <w:tcPr>
            <w:tcW w:w="683"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合同包</w:t>
            </w:r>
          </w:p>
        </w:tc>
        <w:tc>
          <w:tcPr>
            <w:tcW w:w="1378"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章节条目号</w:t>
            </w:r>
          </w:p>
        </w:tc>
        <w:tc>
          <w:tcPr>
            <w:tcW w:w="230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竞争性谈判文件规定的商务条件要求</w:t>
            </w:r>
          </w:p>
        </w:tc>
        <w:tc>
          <w:tcPr>
            <w:tcW w:w="201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响应文件响应承诺</w:t>
            </w:r>
          </w:p>
        </w:tc>
        <w:tc>
          <w:tcPr>
            <w:tcW w:w="1117"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378"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30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01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117"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378"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30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01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117"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378"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30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01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117"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378"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30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01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117"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378"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30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01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117"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378"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30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01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117"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378"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30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01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117"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378"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30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01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117"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378"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30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01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117"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378"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30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2016"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117"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bl>
    <w:p>
      <w:pPr>
        <w:keepNext w:val="0"/>
        <w:keepLines w:val="0"/>
        <w:pageBreakBefore w:val="0"/>
        <w:widowControl/>
        <w:kinsoku/>
        <w:wordWrap/>
        <w:overflowPunct/>
        <w:topLinePunct w:val="0"/>
        <w:bidi w:val="0"/>
        <w:snapToGrid/>
        <w:spacing w:before="75" w:after="75" w:line="360" w:lineRule="auto"/>
        <w:ind w:firstLine="422" w:firstLineChars="200"/>
        <w:jc w:val="left"/>
        <w:textAlignment w:val="auto"/>
        <w:rPr>
          <w:rFonts w:ascii="宋体" w:hAnsi="宋体" w:eastAsia="宋体" w:cs="宋体"/>
          <w:b/>
          <w:bCs/>
          <w:color w:val="auto"/>
          <w:kern w:val="0"/>
        </w:rPr>
      </w:pPr>
    </w:p>
    <w:p>
      <w:pPr>
        <w:keepNext w:val="0"/>
        <w:keepLines w:val="0"/>
        <w:pageBreakBefore w:val="0"/>
        <w:widowControl/>
        <w:kinsoku/>
        <w:wordWrap/>
        <w:overflowPunct/>
        <w:topLinePunct w:val="0"/>
        <w:bidi w:val="0"/>
        <w:snapToGrid/>
        <w:spacing w:before="75" w:after="75" w:line="360" w:lineRule="auto"/>
        <w:ind w:firstLine="422" w:firstLineChars="200"/>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给采购人和采购代理机构造成损失的，还必须进行赔偿并负相关责任。</w:t>
      </w:r>
    </w:p>
    <w:p>
      <w:pPr>
        <w:keepNext w:val="0"/>
        <w:keepLines w:val="0"/>
        <w:pageBreakBefore w:val="0"/>
        <w:widowControl/>
        <w:kinsoku/>
        <w:wordWrap/>
        <w:overflowPunct/>
        <w:topLinePunct w:val="0"/>
        <w:bidi w:val="0"/>
        <w:snapToGrid/>
        <w:spacing w:before="75" w:after="75" w:line="360" w:lineRule="auto"/>
        <w:ind w:firstLine="422" w:firstLineChars="200"/>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供应商代表签字： _________________</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br w:type="textWrapping"/>
      </w:r>
    </w:p>
    <w:p>
      <w:pPr>
        <w:keepNext w:val="0"/>
        <w:keepLines w:val="0"/>
        <w:pageBreakBefore w:val="0"/>
        <w:kinsoku/>
        <w:wordWrap/>
        <w:overflowPunct/>
        <w:topLinePunct w:val="0"/>
        <w:bidi w:val="0"/>
        <w:snapToGrid/>
        <w:spacing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br w:type="page"/>
      </w:r>
    </w:p>
    <w:p>
      <w:pPr>
        <w:keepNext w:val="0"/>
        <w:keepLines w:val="0"/>
        <w:pageBreakBefore w:val="0"/>
        <w:widowControl/>
        <w:kinsoku/>
        <w:wordWrap/>
        <w:overflowPunct/>
        <w:topLinePunct w:val="0"/>
        <w:bidi w:val="0"/>
        <w:snapToGrid/>
        <w:spacing w:before="75" w:after="75" w:line="360" w:lineRule="auto"/>
        <w:jc w:val="left"/>
        <w:textAlignment w:val="auto"/>
        <w:outlineLvl w:val="1"/>
        <w:rPr>
          <w:rFonts w:ascii="宋体" w:hAnsi="宋体" w:eastAsia="宋体" w:cs="宋体"/>
          <w:b/>
          <w:bCs/>
          <w:color w:val="auto"/>
          <w:kern w:val="0"/>
          <w:sz w:val="24"/>
          <w:szCs w:val="24"/>
        </w:rPr>
      </w:pPr>
      <w:r>
        <w:rPr>
          <w:rFonts w:hint="eastAsia" w:ascii="宋体" w:hAnsi="宋体" w:eastAsia="宋体" w:cs="宋体"/>
          <w:color w:val="auto"/>
          <w:kern w:val="0"/>
          <w:sz w:val="24"/>
          <w:szCs w:val="24"/>
        </w:rPr>
        <w:t>附件</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 xml:space="preserve">    </w:t>
      </w:r>
      <w:r>
        <w:rPr>
          <w:rFonts w:hint="eastAsia" w:ascii="宋体" w:hAnsi="宋体" w:eastAsia="宋体" w:cs="宋体"/>
          <w:b/>
          <w:bCs/>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center"/>
        <w:textAlignment w:val="auto"/>
        <w:outlineLvl w:val="1"/>
        <w:rPr>
          <w:rFonts w:ascii="宋体" w:hAnsi="宋体" w:eastAsia="宋体" w:cs="宋体"/>
          <w:color w:val="auto"/>
          <w:kern w:val="0"/>
          <w:sz w:val="28"/>
          <w:szCs w:val="28"/>
        </w:rPr>
      </w:pPr>
      <w:r>
        <w:rPr>
          <w:rFonts w:hint="eastAsia" w:ascii="宋体" w:hAnsi="宋体" w:eastAsia="宋体" w:cs="宋体"/>
          <w:b/>
          <w:bCs/>
          <w:color w:val="auto"/>
          <w:kern w:val="0"/>
          <w:sz w:val="28"/>
          <w:szCs w:val="28"/>
        </w:rPr>
        <w:t>相关技术、商务、服务响应承诺及资料</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说明：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2.如果没有特别要求的，供应商根据谈判文件的要求以及特点，提供相关技术、商务、服务响应承诺及资料，格式自拟。</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供应商代表：          （签字）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供应商名称：       （全称并加盖公章）</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日  期：     年    月    日</w:t>
      </w:r>
    </w:p>
    <w:p>
      <w:pPr>
        <w:keepNext w:val="0"/>
        <w:keepLines w:val="0"/>
        <w:pageBreakBefore w:val="0"/>
        <w:widowControl/>
        <w:kinsoku/>
        <w:wordWrap/>
        <w:overflowPunct/>
        <w:topLinePunct w:val="0"/>
        <w:bidi w:val="0"/>
        <w:snapToGrid/>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br w:type="textWrapping"/>
      </w:r>
    </w:p>
    <w:p>
      <w:pPr>
        <w:keepNext w:val="0"/>
        <w:keepLines w:val="0"/>
        <w:pageBreakBefore w:val="0"/>
        <w:kinsoku/>
        <w:wordWrap/>
        <w:overflowPunct/>
        <w:topLinePunct w:val="0"/>
        <w:bidi w:val="0"/>
        <w:snapToGrid/>
        <w:spacing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br w:type="page"/>
      </w:r>
    </w:p>
    <w:p>
      <w:pPr>
        <w:keepNext w:val="0"/>
        <w:keepLines w:val="0"/>
        <w:pageBreakBefore w:val="0"/>
        <w:widowControl/>
        <w:kinsoku/>
        <w:wordWrap/>
        <w:overflowPunct/>
        <w:topLinePunct w:val="0"/>
        <w:bidi w:val="0"/>
        <w:snapToGrid/>
        <w:spacing w:before="75" w:after="75" w:line="360" w:lineRule="auto"/>
        <w:jc w:val="left"/>
        <w:textAlignment w:val="auto"/>
        <w:outlineLvl w:val="1"/>
        <w:rPr>
          <w:rFonts w:ascii="宋体" w:hAnsi="宋体" w:eastAsia="宋体" w:cs="宋体"/>
          <w:color w:val="auto"/>
          <w:kern w:val="0"/>
          <w:sz w:val="24"/>
          <w:szCs w:val="24"/>
        </w:rPr>
      </w:pPr>
      <w:r>
        <w:rPr>
          <w:rFonts w:hint="eastAsia" w:ascii="宋体" w:hAnsi="宋体" w:eastAsia="宋体" w:cs="宋体"/>
          <w:color w:val="auto"/>
          <w:kern w:val="0"/>
          <w:sz w:val="24"/>
          <w:szCs w:val="24"/>
        </w:rPr>
        <w:t>附件</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center"/>
        <w:textAlignment w:val="auto"/>
        <w:outlineLvl w:val="1"/>
        <w:rPr>
          <w:rFonts w:ascii="宋体" w:hAnsi="宋体" w:eastAsia="宋体" w:cs="宋体"/>
          <w:color w:val="auto"/>
          <w:kern w:val="0"/>
          <w:sz w:val="28"/>
          <w:szCs w:val="28"/>
        </w:rPr>
      </w:pPr>
      <w:r>
        <w:rPr>
          <w:rFonts w:hint="eastAsia" w:ascii="宋体" w:hAnsi="宋体" w:eastAsia="宋体" w:cs="宋体"/>
          <w:b/>
          <w:bCs/>
          <w:color w:val="auto"/>
          <w:kern w:val="0"/>
          <w:sz w:val="28"/>
          <w:szCs w:val="28"/>
        </w:rPr>
        <w:t>供应商提交符合政府采购政策的证明材料</w:t>
      </w:r>
    </w:p>
    <w:p>
      <w:pPr>
        <w:keepNext w:val="0"/>
        <w:keepLines w:val="0"/>
        <w:pageBreakBefore w:val="0"/>
        <w:widowControl/>
        <w:kinsoku/>
        <w:wordWrap/>
        <w:overflowPunct/>
        <w:topLinePunct w:val="0"/>
        <w:bidi w:val="0"/>
        <w:snapToGrid/>
        <w:spacing w:before="75" w:after="75" w:line="360" w:lineRule="auto"/>
        <w:ind w:firstLine="480"/>
        <w:jc w:val="left"/>
        <w:textAlignment w:val="auto"/>
        <w:rPr>
          <w:rFonts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附件</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-1-1        </w:t>
      </w:r>
    </w:p>
    <w:p>
      <w:pPr>
        <w:keepNext w:val="0"/>
        <w:keepLines w:val="0"/>
        <w:pageBreakBefore w:val="0"/>
        <w:widowControl/>
        <w:kinsoku/>
        <w:wordWrap/>
        <w:overflowPunct/>
        <w:topLinePunct w:val="0"/>
        <w:bidi w:val="0"/>
        <w:snapToGrid/>
        <w:spacing w:before="75" w:after="75" w:line="360" w:lineRule="auto"/>
        <w:jc w:val="center"/>
        <w:textAlignment w:val="auto"/>
        <w:rPr>
          <w:rFonts w:ascii="宋体" w:hAnsi="宋体" w:eastAsia="宋体" w:cs="宋体"/>
          <w:color w:val="auto"/>
          <w:kern w:val="0"/>
          <w:sz w:val="24"/>
          <w:szCs w:val="24"/>
        </w:rPr>
      </w:pPr>
      <w:r>
        <w:rPr>
          <w:rFonts w:hint="eastAsia" w:ascii="宋体" w:hAnsi="宋体" w:eastAsia="宋体" w:cs="宋体"/>
          <w:b/>
          <w:bCs/>
          <w:color w:val="auto"/>
          <w:kern w:val="0"/>
          <w:sz w:val="28"/>
          <w:szCs w:val="28"/>
        </w:rPr>
        <w:t>中小企业声明函（若有）</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ind w:firstLine="48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本公司郑重声明，根据《政府采购促进中小企业发展暂行办法》（财库〔2011〕181号）的规定，本公司为                （请填写：中型、小型、微型）企业。即，本公司同时满足以下条件：</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1.根据《工业和信息化部、国家统计局、国家发展和改革委员会、财政部关于印发中小企业划型标准规定的通知》（工信部联企业〔2011〕300号）规定的划分标准，本公司为           （请填写：中型、小型、微型）企业。</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2.本公司参加         单位的            项目采购活动提供本企业制造的货物，由本企业承担工程、提供服务，或者提供其他              （请填写：中型、小型、微型）企业制造的货物。本条所称货物不包括使用大型企业注册商标的货物。</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本公司对上述声明的真实性负责。如有虚假，将依法承担相应责任。</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供应商代表：          （签字）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供应商名称：       （全称并加盖公章）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日  期：     年    月    日</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注：需另附下表</w:t>
      </w:r>
    </w:p>
    <w:tbl>
      <w:tblPr>
        <w:tblStyle w:val="10"/>
        <w:tblW w:w="8807"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30"/>
        <w:gridCol w:w="855"/>
        <w:gridCol w:w="570"/>
        <w:gridCol w:w="630"/>
        <w:gridCol w:w="750"/>
        <w:gridCol w:w="765"/>
        <w:gridCol w:w="1020"/>
        <w:gridCol w:w="3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blCellSpacing w:w="15" w:type="dxa"/>
        </w:trPr>
        <w:tc>
          <w:tcPr>
            <w:tcW w:w="785"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合同包/品目号</w:t>
            </w:r>
          </w:p>
        </w:tc>
        <w:tc>
          <w:tcPr>
            <w:tcW w:w="825"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响应产品名称</w:t>
            </w:r>
          </w:p>
        </w:tc>
        <w:tc>
          <w:tcPr>
            <w:tcW w:w="54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ind w:left="15"/>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品牌型号</w:t>
            </w:r>
          </w:p>
        </w:tc>
        <w:tc>
          <w:tcPr>
            <w:tcW w:w="60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ind w:left="15"/>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72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ind w:left="15"/>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最后报价单价</w:t>
            </w:r>
          </w:p>
        </w:tc>
        <w:tc>
          <w:tcPr>
            <w:tcW w:w="735"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ind w:left="15"/>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最后报价总价</w:t>
            </w:r>
          </w:p>
        </w:tc>
        <w:tc>
          <w:tcPr>
            <w:tcW w:w="99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响应产品的生产或供应企业</w:t>
            </w:r>
          </w:p>
        </w:tc>
        <w:tc>
          <w:tcPr>
            <w:tcW w:w="3342"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生产供应企业的规模类型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15" w:type="dxa"/>
        </w:trPr>
        <w:tc>
          <w:tcPr>
            <w:tcW w:w="785"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825"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54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60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72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735"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990"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3342"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所报价产品的生产或供应企业类型为：     （请填写中型、小型、微型企业）</w:t>
            </w:r>
          </w:p>
        </w:tc>
      </w:tr>
    </w:tbl>
    <w:p>
      <w:pPr>
        <w:keepNext w:val="0"/>
        <w:keepLines w:val="0"/>
        <w:pageBreakBefore w:val="0"/>
        <w:widowControl/>
        <w:kinsoku/>
        <w:wordWrap/>
        <w:overflowPunct/>
        <w:topLinePunct w:val="0"/>
        <w:bidi w:val="0"/>
        <w:snapToGrid/>
        <w:spacing w:before="75" w:after="75"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1）供应商不符合小型、微型企业认定标准或者供应商提供的产品不是小型、微型企业的产品的，不享受价格扣除的优惠政策，不用提供本声明函，否则视为提供虚假材料。供应商在提交最后报价时，如果没有同时向谈判小组提交上述声明函并附相应证明资料，视同为供应商及其提供的产品不是小型、微型企业生产的产品的，不享受价格扣除的优惠政策。</w:t>
      </w:r>
    </w:p>
    <w:p>
      <w:pPr>
        <w:keepNext w:val="0"/>
        <w:keepLines w:val="0"/>
        <w:pageBreakBefore w:val="0"/>
        <w:widowControl/>
        <w:kinsoku/>
        <w:wordWrap/>
        <w:overflowPunct/>
        <w:topLinePunct w:val="0"/>
        <w:bidi w:val="0"/>
        <w:snapToGrid/>
        <w:spacing w:before="75" w:after="75"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供应商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keepNext w:val="0"/>
        <w:keepLines w:val="0"/>
        <w:pageBreakBefore w:val="0"/>
        <w:widowControl/>
        <w:kinsoku/>
        <w:wordWrap/>
        <w:overflowPunct/>
        <w:topLinePunct w:val="0"/>
        <w:bidi w:val="0"/>
        <w:snapToGrid/>
        <w:spacing w:before="75" w:after="75"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（3）供应商为监狱企业的，可不填写本声明函。根据其提供的由省级以上监狱管理局、戒毒管理局（含新疆生产建设兵团）出具的属于监狱企业的证明文件进行认定，监狱企业视同小型、微型企业。 </w:t>
      </w:r>
    </w:p>
    <w:p>
      <w:pPr>
        <w:keepNext w:val="0"/>
        <w:keepLines w:val="0"/>
        <w:pageBreakBefore w:val="0"/>
        <w:widowControl/>
        <w:kinsoku/>
        <w:wordWrap/>
        <w:overflowPunct/>
        <w:topLinePunct w:val="0"/>
        <w:bidi w:val="0"/>
        <w:snapToGrid/>
        <w:spacing w:before="75" w:after="75"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（4）供应商为残疾人福利性单位的，可不填写本声明函，根据其提供的《残疾人福利性单位声明函》（格式附后）进行认定，残疾人福利性单位视同小型、微型企业。</w:t>
      </w:r>
    </w:p>
    <w:p>
      <w:pPr>
        <w:keepNext w:val="0"/>
        <w:keepLines w:val="0"/>
        <w:pageBreakBefore w:val="0"/>
        <w:widowControl/>
        <w:kinsoku/>
        <w:wordWrap/>
        <w:overflowPunct/>
        <w:topLinePunct w:val="0"/>
        <w:bidi w:val="0"/>
        <w:snapToGrid/>
        <w:spacing w:before="75" w:after="75" w:line="360" w:lineRule="auto"/>
        <w:textAlignment w:val="auto"/>
        <w:rPr>
          <w:rFonts w:hint="eastAsia"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textAlignment w:val="auto"/>
        <w:rPr>
          <w:rFonts w:hint="eastAsia"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textAlignment w:val="auto"/>
        <w:rPr>
          <w:rFonts w:hint="eastAsia"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附件</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-1-2</w:t>
      </w:r>
    </w:p>
    <w:p>
      <w:pPr>
        <w:keepNext w:val="0"/>
        <w:keepLines w:val="0"/>
        <w:pageBreakBefore w:val="0"/>
        <w:widowControl/>
        <w:kinsoku/>
        <w:wordWrap/>
        <w:overflowPunct/>
        <w:topLinePunct w:val="0"/>
        <w:bidi w:val="0"/>
        <w:snapToGrid/>
        <w:spacing w:before="75" w:after="75" w:line="360" w:lineRule="auto"/>
        <w:jc w:val="center"/>
        <w:textAlignment w:val="auto"/>
        <w:outlineLvl w:val="1"/>
        <w:rPr>
          <w:rFonts w:ascii="宋体" w:hAnsi="宋体" w:eastAsia="宋体" w:cs="宋体"/>
          <w:color w:val="auto"/>
          <w:kern w:val="0"/>
          <w:sz w:val="24"/>
          <w:szCs w:val="24"/>
        </w:rPr>
      </w:pPr>
      <w:r>
        <w:rPr>
          <w:rFonts w:hint="eastAsia" w:ascii="宋体" w:hAnsi="宋体" w:eastAsia="宋体" w:cs="宋体"/>
          <w:b/>
          <w:bCs/>
          <w:color w:val="auto"/>
          <w:kern w:val="0"/>
          <w:sz w:val="28"/>
          <w:szCs w:val="28"/>
        </w:rPr>
        <w:t>残疾人福利性单位声明函（若有）</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b/>
          <w:bCs/>
          <w:color w:val="auto"/>
          <w:kern w:val="0"/>
          <w:sz w:val="24"/>
          <w:szCs w:val="24"/>
        </w:rPr>
        <w:t> </w:t>
      </w:r>
    </w:p>
    <w:p>
      <w:pPr>
        <w:keepNext w:val="0"/>
        <w:keepLines w:val="0"/>
        <w:pageBreakBefore w:val="0"/>
        <w:widowControl/>
        <w:kinsoku/>
        <w:wordWrap/>
        <w:overflowPunct/>
        <w:topLinePunct w:val="0"/>
        <w:bidi w:val="0"/>
        <w:snapToGrid/>
        <w:spacing w:before="75" w:after="75" w:line="360"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本供应商郑重声明，根据《财政部 民政部 中国残疾人联合会关于促进残疾人就业政府采购政策的通知》（财库[2017]141号）的规定，本供应商为符合条件的残疾人福利性单位，且本供应商参加贵单位的（填写“项目名称”）项目采购活动：</w:t>
      </w:r>
    </w:p>
    <w:p>
      <w:pPr>
        <w:keepNext w:val="0"/>
        <w:keepLines w:val="0"/>
        <w:pageBreakBefore w:val="0"/>
        <w:widowControl/>
        <w:kinsoku/>
        <w:wordWrap/>
        <w:overflowPunct/>
        <w:topLinePunct w:val="0"/>
        <w:bidi w:val="0"/>
        <w:snapToGrid/>
        <w:spacing w:before="75" w:after="75" w:line="360" w:lineRule="auto"/>
        <w:ind w:firstLine="42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）提供本供应商制造的（填写“所投合同包、品目号”）货物，</w:t>
      </w:r>
    </w:p>
    <w:p>
      <w:pPr>
        <w:keepNext w:val="0"/>
        <w:keepLines w:val="0"/>
        <w:pageBreakBefore w:val="0"/>
        <w:widowControl/>
        <w:kinsoku/>
        <w:wordWrap/>
        <w:overflowPunct/>
        <w:topLinePunct w:val="0"/>
        <w:bidi w:val="0"/>
        <w:snapToGrid/>
        <w:spacing w:before="75" w:after="75" w:line="360" w:lineRule="auto"/>
        <w:ind w:firstLine="42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）由本供应商承担的（填写“所投合同包、品目号”）工程，</w:t>
      </w:r>
    </w:p>
    <w:p>
      <w:pPr>
        <w:keepNext w:val="0"/>
        <w:keepLines w:val="0"/>
        <w:pageBreakBefore w:val="0"/>
        <w:widowControl/>
        <w:kinsoku/>
        <w:wordWrap/>
        <w:overflowPunct/>
        <w:topLinePunct w:val="0"/>
        <w:bidi w:val="0"/>
        <w:snapToGrid/>
        <w:spacing w:before="75" w:after="75" w:line="360" w:lineRule="auto"/>
        <w:ind w:firstLine="42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）由本供应商提供的（填写“所投合同包、品目号”）服务；或</w:t>
      </w:r>
    </w:p>
    <w:p>
      <w:pPr>
        <w:keepNext w:val="0"/>
        <w:keepLines w:val="0"/>
        <w:pageBreakBefore w:val="0"/>
        <w:widowControl/>
        <w:kinsoku/>
        <w:wordWrap/>
        <w:overflowPunct/>
        <w:topLinePunct w:val="0"/>
        <w:bidi w:val="0"/>
        <w:snapToGrid/>
        <w:spacing w:before="75" w:after="75" w:line="360" w:lineRule="auto"/>
        <w:ind w:firstLine="42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）提供其他残疾人福利性单位制造的（填写“所投合同包、品目号”）货物（不包括使用非残疾人福利性单位注册商标的货物）。</w:t>
      </w:r>
    </w:p>
    <w:p>
      <w:pPr>
        <w:keepNext w:val="0"/>
        <w:keepLines w:val="0"/>
        <w:pageBreakBefore w:val="0"/>
        <w:widowControl/>
        <w:kinsoku/>
        <w:wordWrap/>
        <w:overflowPunct/>
        <w:topLinePunct w:val="0"/>
        <w:bidi w:val="0"/>
        <w:snapToGrid/>
        <w:spacing w:before="75" w:after="75" w:line="360" w:lineRule="auto"/>
        <w:ind w:firstLine="42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本供应商对上述声明的真实性负责。如有虚假，将依法承担相应责任。</w:t>
      </w:r>
    </w:p>
    <w:p>
      <w:pPr>
        <w:keepNext w:val="0"/>
        <w:keepLines w:val="0"/>
        <w:pageBreakBefore w:val="0"/>
        <w:widowControl/>
        <w:kinsoku/>
        <w:wordWrap/>
        <w:overflowPunct/>
        <w:topLinePunct w:val="0"/>
        <w:bidi w:val="0"/>
        <w:snapToGrid/>
        <w:spacing w:before="75" w:after="75" w:line="360" w:lineRule="auto"/>
        <w:ind w:firstLine="42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供应商代表：          （签字）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供应商名称：       （全称并加盖公章）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日  期：     年    月    日</w:t>
      </w:r>
    </w:p>
    <w:p>
      <w:pPr>
        <w:pStyle w:val="2"/>
        <w:keepNext w:val="0"/>
        <w:keepLines w:val="0"/>
        <w:pageBreakBefore w:val="0"/>
        <w:kinsoku/>
        <w:wordWrap/>
        <w:overflowPunct/>
        <w:topLinePunct w:val="0"/>
        <w:bidi w:val="0"/>
        <w:snapToGrid/>
        <w:spacing w:line="360" w:lineRule="auto"/>
        <w:textAlignment w:val="auto"/>
        <w:rPr>
          <w:color w:val="auto"/>
        </w:rPr>
      </w:pPr>
    </w:p>
    <w:p>
      <w:pPr>
        <w:keepNext w:val="0"/>
        <w:keepLines w:val="0"/>
        <w:pageBreakBefore w:val="0"/>
        <w:widowControl/>
        <w:kinsoku/>
        <w:wordWrap/>
        <w:overflowPunct/>
        <w:topLinePunct w:val="0"/>
        <w:bidi w:val="0"/>
        <w:snapToGrid/>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备注：（1）若供应商不符合残疾人福利性单位，不用提供本声明函，否则视为提供虚假材料。供应商在提交最后报价时，如果没有同时向谈判小组提交上述声明函，视同为供应商不符合残疾人福利性单位，不享受价格扣除的优惠政策。</w:t>
      </w:r>
    </w:p>
    <w:p>
      <w:pPr>
        <w:keepNext w:val="0"/>
        <w:keepLines w:val="0"/>
        <w:pageBreakBefore w:val="0"/>
        <w:widowControl/>
        <w:kinsoku/>
        <w:wordWrap/>
        <w:overflowPunct/>
        <w:topLinePunct w:val="0"/>
        <w:bidi w:val="0"/>
        <w:snapToGrid/>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（2）请供应商按照实际情况编制填写本声明函，并在相应的（）中打“√”。</w:t>
      </w:r>
    </w:p>
    <w:p>
      <w:pPr>
        <w:keepNext w:val="0"/>
        <w:keepLines w:val="0"/>
        <w:pageBreakBefore w:val="0"/>
        <w:widowControl/>
        <w:kinsoku/>
        <w:wordWrap/>
        <w:overflowPunct/>
        <w:topLinePunct w:val="0"/>
        <w:bidi w:val="0"/>
        <w:snapToGrid/>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（3）纸质响应文件正本中的本声明函（若有）应为原件。</w:t>
      </w:r>
    </w:p>
    <w:p>
      <w:pPr>
        <w:keepNext w:val="0"/>
        <w:keepLines w:val="0"/>
        <w:pageBreakBefore w:val="0"/>
        <w:widowControl/>
        <w:kinsoku/>
        <w:wordWrap/>
        <w:overflowPunct/>
        <w:topLinePunct w:val="0"/>
        <w:bidi w:val="0"/>
        <w:snapToGrid/>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（4）若《残疾人福利性单位声明函》内容不真实，视为提供虚假材料。</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附件</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-2</w:t>
      </w:r>
    </w:p>
    <w:p>
      <w:pPr>
        <w:keepNext w:val="0"/>
        <w:keepLines w:val="0"/>
        <w:pageBreakBefore w:val="0"/>
        <w:widowControl/>
        <w:kinsoku/>
        <w:wordWrap/>
        <w:overflowPunct/>
        <w:topLinePunct w:val="0"/>
        <w:bidi w:val="0"/>
        <w:snapToGrid/>
        <w:spacing w:before="75" w:after="75" w:line="360" w:lineRule="auto"/>
        <w:jc w:val="center"/>
        <w:textAlignment w:val="auto"/>
        <w:rPr>
          <w:rFonts w:ascii="宋体" w:hAnsi="宋体" w:eastAsia="宋体" w:cs="宋体"/>
          <w:color w:val="auto"/>
          <w:kern w:val="0"/>
          <w:sz w:val="28"/>
          <w:szCs w:val="28"/>
        </w:rPr>
      </w:pPr>
      <w:r>
        <w:rPr>
          <w:rFonts w:hint="eastAsia" w:ascii="宋体" w:hAnsi="宋体" w:eastAsia="宋体" w:cs="宋体"/>
          <w:b/>
          <w:bCs/>
          <w:color w:val="auto"/>
          <w:kern w:val="0"/>
          <w:sz w:val="28"/>
          <w:szCs w:val="28"/>
        </w:rPr>
        <w:t>优先类节能产品、环境标志产品价格扣除证明材料（若有）</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bl>
      <w:tblPr>
        <w:tblStyle w:val="10"/>
        <w:tblW w:w="852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24"/>
        <w:gridCol w:w="1211"/>
        <w:gridCol w:w="1207"/>
        <w:gridCol w:w="1217"/>
        <w:gridCol w:w="1207"/>
        <w:gridCol w:w="1217"/>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9"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7251" w:type="dxa"/>
            <w:gridSpan w:val="6"/>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9"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合同包</w:t>
            </w:r>
          </w:p>
        </w:tc>
        <w:tc>
          <w:tcPr>
            <w:tcW w:w="1181"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品目号</w:t>
            </w:r>
          </w:p>
        </w:tc>
        <w:tc>
          <w:tcPr>
            <w:tcW w:w="1177"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产品名称</w:t>
            </w:r>
          </w:p>
        </w:tc>
        <w:tc>
          <w:tcPr>
            <w:tcW w:w="1187"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最后报价单价</w:t>
            </w:r>
          </w:p>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（现场）</w:t>
            </w:r>
          </w:p>
        </w:tc>
        <w:tc>
          <w:tcPr>
            <w:tcW w:w="1177"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1187"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最后报价总价</w:t>
            </w:r>
          </w:p>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（现场）</w:t>
            </w:r>
          </w:p>
        </w:tc>
        <w:tc>
          <w:tcPr>
            <w:tcW w:w="1192"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9" w:type="dxa"/>
            <w:vMerge w:val="restart"/>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1181"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177"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187"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177"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187"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192"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9" w:type="dxa"/>
            <w:vMerge w:val="continue"/>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181"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1177"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187"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177"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187"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c>
          <w:tcPr>
            <w:tcW w:w="1192"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9" w:type="dxa"/>
            <w:tcMar>
              <w:top w:w="0" w:type="dxa"/>
              <w:left w:w="105" w:type="dxa"/>
              <w:bottom w:w="0" w:type="dxa"/>
              <w:right w:w="105"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备注</w:t>
            </w:r>
          </w:p>
        </w:tc>
        <w:tc>
          <w:tcPr>
            <w:tcW w:w="7251" w:type="dxa"/>
            <w:gridSpan w:val="6"/>
            <w:tcMar>
              <w:top w:w="0" w:type="dxa"/>
              <w:left w:w="105" w:type="dxa"/>
              <w:bottom w:w="0" w:type="dxa"/>
              <w:right w:w="105" w:type="dxa"/>
            </w:tcMar>
          </w:tcPr>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a.本合同包内属于节能、环境标志产品的合计最后报价总金额：      ；</w:t>
            </w:r>
          </w:p>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b.本合同包最后报价总价：            ；</w:t>
            </w:r>
          </w:p>
          <w:p>
            <w:pPr>
              <w:keepNext w:val="0"/>
              <w:keepLines w:val="0"/>
              <w:pageBreakBefore w:val="0"/>
              <w:widowControl/>
              <w:kinsoku/>
              <w:wordWrap/>
              <w:overflowPunct/>
              <w:topLinePunct w:val="0"/>
              <w:bidi w:val="0"/>
              <w:snapToGrid/>
              <w:spacing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c.本合同包内属于节能、环境标志产品的合计最后报价总金额占本合同包最后报价总价的比例（以%列示）：           。</w:t>
            </w:r>
          </w:p>
        </w:tc>
      </w:tr>
    </w:tbl>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★注意：</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供应商提供的产品属于《节能产品政策采购清单》，应提供产品所在最新一期《节能产品政府采购清单》所在页复印件，并划线注明对应的产品，以利谈判小组审阅。未按要求提供证明资料并划线注明的，谈判小组将不予认定，不享受价格扣除的优惠政策。</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供应商提供的产品属于《环境标志产品政府采购清单》，应提供产品所在最新一期《环境标志产品政府采购清单》所在页复印件，并划线注明对应的产品，以利谈判小组审阅。未按要求提供证明资料并划线注明的，谈判小组将不予认定，不享受价格扣除的优惠政策。</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3、具体统计、计算：</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3.1若同一合同包内的单个或多个货物取得或同时取得节能、环境标志产品等两项或多项认证的，均按照单个货物对应一项认证的原则统计、计算1次。</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3.2计算结果若除不尽，可四舍五入保留到小数点后两位。</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3.3供应商应按照谈判文件上表要求认真统计、计算，否则谈判小组可不予认定。</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3.4若无节能、环境标志产品，不填写本表，否则，视为提供虚假材料。</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3.5强制类节能产品不享受价格扣除。</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4、本表以合同包为单位，不同合同包请分别填写；同一合同包请按照顺序分别填写，以方便谈判小组审阅。供应商在提交最后报价时，如果没有同时向谈判小组提交上表内容并附相应证明资料，视同为供应商的产品不属于节能、环境标志产品，不享受价格扣除的优惠政策。</w:t>
      </w:r>
    </w:p>
    <w:p>
      <w:pPr>
        <w:keepNext w:val="0"/>
        <w:keepLines w:val="0"/>
        <w:pageBreakBefore w:val="0"/>
        <w:widowControl/>
        <w:kinsoku/>
        <w:wordWrap/>
        <w:overflowPunct/>
        <w:topLinePunct w:val="0"/>
        <w:bidi w:val="0"/>
        <w:snapToGrid/>
        <w:spacing w:before="75" w:after="75" w:line="360" w:lineRule="auto"/>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5、纸质响应文件正本中的本表（若有）应为原件。</w:t>
      </w:r>
    </w:p>
    <w:p>
      <w:pPr>
        <w:pStyle w:val="2"/>
        <w:keepNext w:val="0"/>
        <w:keepLines w:val="0"/>
        <w:pageBreakBefore w:val="0"/>
        <w:kinsoku/>
        <w:wordWrap/>
        <w:overflowPunct/>
        <w:topLinePunct w:val="0"/>
        <w:bidi w:val="0"/>
        <w:snapToGrid/>
        <w:spacing w:line="360" w:lineRule="auto"/>
        <w:textAlignment w:val="auto"/>
        <w:rPr>
          <w:rFonts w:ascii="宋体" w:hAnsi="宋体" w:cs="宋体"/>
          <w:color w:val="auto"/>
        </w:rPr>
      </w:pPr>
    </w:p>
    <w:p>
      <w:pPr>
        <w:pStyle w:val="2"/>
        <w:keepNext w:val="0"/>
        <w:keepLines w:val="0"/>
        <w:pageBreakBefore w:val="0"/>
        <w:kinsoku/>
        <w:wordWrap/>
        <w:overflowPunct/>
        <w:topLinePunct w:val="0"/>
        <w:bidi w:val="0"/>
        <w:snapToGrid/>
        <w:spacing w:line="360" w:lineRule="auto"/>
        <w:textAlignment w:val="auto"/>
        <w:rPr>
          <w:rFonts w:ascii="宋体" w:hAnsi="宋体" w:cs="宋体"/>
          <w:color w:val="auto"/>
        </w:rPr>
      </w:pP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供应商代表：             （签字） </w:t>
      </w:r>
    </w:p>
    <w:p>
      <w:pPr>
        <w:pStyle w:val="2"/>
        <w:keepNext w:val="0"/>
        <w:keepLines w:val="0"/>
        <w:pageBreakBefore w:val="0"/>
        <w:kinsoku/>
        <w:wordWrap/>
        <w:overflowPunct/>
        <w:topLinePunct w:val="0"/>
        <w:bidi w:val="0"/>
        <w:snapToGrid/>
        <w:spacing w:line="360" w:lineRule="auto"/>
        <w:textAlignment w:val="auto"/>
        <w:rPr>
          <w:color w:val="auto"/>
        </w:rPr>
      </w:pP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日  期：     年    月    日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br w:type="textWrapping"/>
      </w:r>
    </w:p>
    <w:p>
      <w:pPr>
        <w:keepNext w:val="0"/>
        <w:keepLines w:val="0"/>
        <w:pageBreakBefore w:val="0"/>
        <w:kinsoku/>
        <w:wordWrap/>
        <w:overflowPunct/>
        <w:topLinePunct w:val="0"/>
        <w:bidi w:val="0"/>
        <w:snapToGrid/>
        <w:spacing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br w:type="page"/>
      </w:r>
    </w:p>
    <w:p>
      <w:pPr>
        <w:keepNext w:val="0"/>
        <w:keepLines w:val="0"/>
        <w:pageBreakBefore w:val="0"/>
        <w:widowControl/>
        <w:kinsoku/>
        <w:wordWrap/>
        <w:overflowPunct/>
        <w:topLinePunct w:val="0"/>
        <w:bidi w:val="0"/>
        <w:snapToGrid/>
        <w:spacing w:before="75" w:after="75" w:line="360" w:lineRule="auto"/>
        <w:jc w:val="left"/>
        <w:textAlignment w:val="auto"/>
        <w:outlineLvl w:val="1"/>
        <w:rPr>
          <w:rFonts w:ascii="宋体" w:hAnsi="宋体" w:eastAsia="宋体" w:cs="宋体"/>
          <w:color w:val="auto"/>
          <w:kern w:val="0"/>
          <w:sz w:val="24"/>
          <w:szCs w:val="24"/>
        </w:rPr>
      </w:pPr>
      <w:r>
        <w:rPr>
          <w:rFonts w:hint="eastAsia" w:ascii="宋体" w:hAnsi="宋体" w:eastAsia="宋体" w:cs="宋体"/>
          <w:color w:val="auto"/>
          <w:kern w:val="0"/>
          <w:sz w:val="24"/>
          <w:szCs w:val="24"/>
        </w:rPr>
        <w:t>附件</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center"/>
        <w:textAlignment w:val="auto"/>
        <w:outlineLvl w:val="1"/>
        <w:rPr>
          <w:rFonts w:ascii="宋体" w:hAnsi="宋体" w:eastAsia="宋体" w:cs="宋体"/>
          <w:color w:val="auto"/>
          <w:kern w:val="0"/>
          <w:sz w:val="28"/>
          <w:szCs w:val="28"/>
        </w:rPr>
      </w:pPr>
      <w:r>
        <w:rPr>
          <w:rFonts w:hint="eastAsia" w:ascii="宋体" w:hAnsi="宋体" w:eastAsia="宋体" w:cs="宋体"/>
          <w:b/>
          <w:bCs/>
          <w:color w:val="auto"/>
          <w:kern w:val="0"/>
          <w:sz w:val="28"/>
          <w:szCs w:val="28"/>
        </w:rPr>
        <w:t>要求作为响应文件组成部分的其他内容（若有）</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说明：</w:t>
      </w:r>
    </w:p>
    <w:p>
      <w:pPr>
        <w:keepNext w:val="0"/>
        <w:keepLines w:val="0"/>
        <w:pageBreakBefore w:val="0"/>
        <w:widowControl/>
        <w:kinsoku/>
        <w:wordWrap/>
        <w:overflowPunct/>
        <w:topLinePunct w:val="0"/>
        <w:bidi w:val="0"/>
        <w:snapToGrid/>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keepNext w:val="0"/>
        <w:keepLines w:val="0"/>
        <w:pageBreakBefore w:val="0"/>
        <w:widowControl/>
        <w:kinsoku/>
        <w:wordWrap/>
        <w:overflowPunct/>
        <w:topLinePunct w:val="0"/>
        <w:bidi w:val="0"/>
        <w:snapToGrid/>
        <w:spacing w:before="75" w:after="75" w:line="360" w:lineRule="auto"/>
        <w:ind w:firstLine="48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2、供应商根据自身实际情况编写有关资料包括如供应商单位简介、竞争性谈判文件要求提供或供应商自已认为体现自身优势，需要补充说明的其它资料，格式自拟。</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供应商代表：          （签字）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供应商名称：       （全称并加盖公章）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bidi w:val="0"/>
        <w:snapToGrid/>
        <w:spacing w:before="75" w:after="75" w:line="360" w:lineRule="auto"/>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日  期：     年    月    日</w:t>
      </w:r>
    </w:p>
    <w:p>
      <w:pPr>
        <w:widowControl/>
        <w:spacing w:before="75" w:after="75"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widowControl/>
        <w:spacing w:before="75" w:after="75"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widowControl/>
        <w:spacing w:before="75" w:after="75" w:line="360" w:lineRule="auto"/>
        <w:jc w:val="left"/>
        <w:rPr>
          <w:rFonts w:ascii="宋体" w:hAnsi="宋体" w:eastAsia="宋体" w:cs="宋体"/>
          <w:color w:val="auto"/>
          <w:kern w:val="0"/>
          <w:sz w:val="24"/>
          <w:szCs w:val="24"/>
        </w:rPr>
      </w:pPr>
    </w:p>
    <w:bookmarkEnd w:id="0"/>
    <w:sectPr>
      <w:footerReference r:id="rId5" w:type="default"/>
      <w:pgSz w:w="11906" w:h="16838"/>
      <w:pgMar w:top="1440" w:right="1803" w:bottom="1440" w:left="1803" w:header="851" w:footer="992"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75</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rPr>
        <w:rFonts w:asciiTheme="minorEastAsia" w:hAnsiTheme="minorEastAsia" w:cstheme="minorEastAsia"/>
        <w:sz w:val="20"/>
        <w:szCs w:val="20"/>
      </w:rPr>
    </w:pPr>
    <w:r>
      <w:rPr>
        <w:rFonts w:hint="eastAsia" w:asciiTheme="minorEastAsia" w:hAnsiTheme="minorEastAsia" w:cstheme="minorEastAsia"/>
        <w:sz w:val="20"/>
        <w:szCs w:val="20"/>
      </w:rPr>
      <w:t>福建丰盛项目管理有限公司采购文件                                     0595-22896657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C1673E"/>
    <w:multiLevelType w:val="singleLevel"/>
    <w:tmpl w:val="CBC1673E"/>
    <w:lvl w:ilvl="0" w:tentative="0">
      <w:start w:val="7"/>
      <w:numFmt w:val="decimal"/>
      <w:suff w:val="nothing"/>
      <w:lvlText w:val="%1、"/>
      <w:lvlJc w:val="left"/>
    </w:lvl>
  </w:abstractNum>
  <w:abstractNum w:abstractNumId="1">
    <w:nsid w:val="CBE62B4A"/>
    <w:multiLevelType w:val="singleLevel"/>
    <w:tmpl w:val="CBE62B4A"/>
    <w:lvl w:ilvl="0" w:tentative="0">
      <w:start w:val="1"/>
      <w:numFmt w:val="decimal"/>
      <w:suff w:val="space"/>
      <w:lvlText w:val="（%1）"/>
      <w:lvlJc w:val="left"/>
    </w:lvl>
  </w:abstractNum>
  <w:abstractNum w:abstractNumId="2">
    <w:nsid w:val="D9C38517"/>
    <w:multiLevelType w:val="singleLevel"/>
    <w:tmpl w:val="D9C38517"/>
    <w:lvl w:ilvl="0" w:tentative="0">
      <w:start w:val="1"/>
      <w:numFmt w:val="chineseCounting"/>
      <w:suff w:val="nothing"/>
      <w:lvlText w:val="%1、"/>
      <w:lvlJc w:val="left"/>
      <w:rPr>
        <w:rFonts w:hint="eastAsia"/>
      </w:rPr>
    </w:lvl>
  </w:abstractNum>
  <w:abstractNum w:abstractNumId="3">
    <w:nsid w:val="DD36C13B"/>
    <w:multiLevelType w:val="singleLevel"/>
    <w:tmpl w:val="DD36C13B"/>
    <w:lvl w:ilvl="0" w:tentative="0">
      <w:start w:val="1"/>
      <w:numFmt w:val="decimal"/>
      <w:lvlText w:val="(%1)"/>
      <w:lvlJc w:val="left"/>
      <w:pPr>
        <w:tabs>
          <w:tab w:val="left" w:pos="312"/>
        </w:tabs>
      </w:pPr>
    </w:lvl>
  </w:abstractNum>
  <w:abstractNum w:abstractNumId="4">
    <w:nsid w:val="F34E484A"/>
    <w:multiLevelType w:val="singleLevel"/>
    <w:tmpl w:val="F34E484A"/>
    <w:lvl w:ilvl="0" w:tentative="0">
      <w:start w:val="2"/>
      <w:numFmt w:val="decimal"/>
      <w:suff w:val="nothing"/>
      <w:lvlText w:val="%1、"/>
      <w:lvlJc w:val="left"/>
    </w:lvl>
  </w:abstractNum>
  <w:abstractNum w:abstractNumId="5">
    <w:nsid w:val="13ACC2A3"/>
    <w:multiLevelType w:val="singleLevel"/>
    <w:tmpl w:val="13ACC2A3"/>
    <w:lvl w:ilvl="0" w:tentative="0">
      <w:start w:val="10"/>
      <w:numFmt w:val="decimal"/>
      <w:lvlText w:val="%1."/>
      <w:lvlJc w:val="left"/>
      <w:pPr>
        <w:tabs>
          <w:tab w:val="left" w:pos="312"/>
        </w:tabs>
      </w:pPr>
    </w:lvl>
  </w:abstractNum>
  <w:abstractNum w:abstractNumId="6">
    <w:nsid w:val="1A13DBA1"/>
    <w:multiLevelType w:val="singleLevel"/>
    <w:tmpl w:val="1A13DBA1"/>
    <w:lvl w:ilvl="0" w:tentative="0">
      <w:start w:val="1"/>
      <w:numFmt w:val="decimal"/>
      <w:suff w:val="space"/>
      <w:lvlText w:val="%1."/>
      <w:lvlJc w:val="left"/>
    </w:lvl>
  </w:abstractNum>
  <w:abstractNum w:abstractNumId="7">
    <w:nsid w:val="51226A01"/>
    <w:multiLevelType w:val="singleLevel"/>
    <w:tmpl w:val="51226A01"/>
    <w:lvl w:ilvl="0" w:tentative="0">
      <w:start w:val="1"/>
      <w:numFmt w:val="decimal"/>
      <w:lvlText w:val="%1)"/>
      <w:lvlJc w:val="left"/>
      <w:pPr>
        <w:tabs>
          <w:tab w:val="left" w:pos="312"/>
        </w:tabs>
      </w:pPr>
    </w:lvl>
  </w:abstractNum>
  <w:abstractNum w:abstractNumId="8">
    <w:nsid w:val="5F94810B"/>
    <w:multiLevelType w:val="singleLevel"/>
    <w:tmpl w:val="5F94810B"/>
    <w:lvl w:ilvl="0" w:tentative="0">
      <w:start w:val="1"/>
      <w:numFmt w:val="chineseCounting"/>
      <w:suff w:val="nothing"/>
      <w:lvlText w:val="%1、"/>
      <w:lvlJc w:val="left"/>
      <w:rPr>
        <w:rFonts w:hint="eastAsia"/>
      </w:rPr>
    </w:lvl>
  </w:abstractNum>
  <w:num w:numId="1">
    <w:abstractNumId w:val="3"/>
  </w:num>
  <w:num w:numId="2">
    <w:abstractNumId w:val="1"/>
  </w:num>
  <w:num w:numId="3">
    <w:abstractNumId w:val="5"/>
  </w:num>
  <w:num w:numId="4">
    <w:abstractNumId w:val="2"/>
  </w:num>
  <w:num w:numId="5">
    <w:abstractNumId w:val="7"/>
  </w:num>
  <w:num w:numId="6">
    <w:abstractNumId w:val="6"/>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1B"/>
    <w:rsid w:val="00000B2A"/>
    <w:rsid w:val="00033A03"/>
    <w:rsid w:val="00072157"/>
    <w:rsid w:val="000B54D2"/>
    <w:rsid w:val="000E36DA"/>
    <w:rsid w:val="001118FF"/>
    <w:rsid w:val="0011541B"/>
    <w:rsid w:val="001256F1"/>
    <w:rsid w:val="00160FAC"/>
    <w:rsid w:val="00163576"/>
    <w:rsid w:val="001743A3"/>
    <w:rsid w:val="001D70A2"/>
    <w:rsid w:val="001F19DD"/>
    <w:rsid w:val="0023003F"/>
    <w:rsid w:val="002363FB"/>
    <w:rsid w:val="00251DCA"/>
    <w:rsid w:val="002753CF"/>
    <w:rsid w:val="002764E1"/>
    <w:rsid w:val="00293A7B"/>
    <w:rsid w:val="002D27E0"/>
    <w:rsid w:val="002D3F33"/>
    <w:rsid w:val="00306F77"/>
    <w:rsid w:val="0037682E"/>
    <w:rsid w:val="003C7A5B"/>
    <w:rsid w:val="003D5A80"/>
    <w:rsid w:val="003F6E65"/>
    <w:rsid w:val="00411293"/>
    <w:rsid w:val="00432D06"/>
    <w:rsid w:val="0045034E"/>
    <w:rsid w:val="004509C3"/>
    <w:rsid w:val="00463A55"/>
    <w:rsid w:val="00484B71"/>
    <w:rsid w:val="004A2835"/>
    <w:rsid w:val="004C4090"/>
    <w:rsid w:val="00500CEA"/>
    <w:rsid w:val="00506E02"/>
    <w:rsid w:val="00531C09"/>
    <w:rsid w:val="005367B5"/>
    <w:rsid w:val="00550CF9"/>
    <w:rsid w:val="00590B46"/>
    <w:rsid w:val="005B2413"/>
    <w:rsid w:val="005D687C"/>
    <w:rsid w:val="005E1216"/>
    <w:rsid w:val="00655775"/>
    <w:rsid w:val="00670871"/>
    <w:rsid w:val="00673D39"/>
    <w:rsid w:val="006B0D23"/>
    <w:rsid w:val="006B0E9B"/>
    <w:rsid w:val="006C545E"/>
    <w:rsid w:val="006E02B0"/>
    <w:rsid w:val="006E32E9"/>
    <w:rsid w:val="006F3DF9"/>
    <w:rsid w:val="0075092A"/>
    <w:rsid w:val="0086300D"/>
    <w:rsid w:val="008A6F49"/>
    <w:rsid w:val="008B4353"/>
    <w:rsid w:val="008E2F50"/>
    <w:rsid w:val="00904AF5"/>
    <w:rsid w:val="00932E45"/>
    <w:rsid w:val="00980F8B"/>
    <w:rsid w:val="009A1839"/>
    <w:rsid w:val="009F048A"/>
    <w:rsid w:val="00A04249"/>
    <w:rsid w:val="00A462BA"/>
    <w:rsid w:val="00A82D5B"/>
    <w:rsid w:val="00AC1D4E"/>
    <w:rsid w:val="00B036C9"/>
    <w:rsid w:val="00B04DD6"/>
    <w:rsid w:val="00B05B38"/>
    <w:rsid w:val="00BD10FC"/>
    <w:rsid w:val="00BD2023"/>
    <w:rsid w:val="00C17ED5"/>
    <w:rsid w:val="00C33A8A"/>
    <w:rsid w:val="00C55046"/>
    <w:rsid w:val="00C70387"/>
    <w:rsid w:val="00CF78A8"/>
    <w:rsid w:val="00D16206"/>
    <w:rsid w:val="00D20FFB"/>
    <w:rsid w:val="00D566A4"/>
    <w:rsid w:val="00D92F47"/>
    <w:rsid w:val="00E22FA9"/>
    <w:rsid w:val="00EC4BA4"/>
    <w:rsid w:val="00F51CEA"/>
    <w:rsid w:val="00FB56AC"/>
    <w:rsid w:val="01B80E49"/>
    <w:rsid w:val="02C747B9"/>
    <w:rsid w:val="032654F5"/>
    <w:rsid w:val="03671E34"/>
    <w:rsid w:val="050713CF"/>
    <w:rsid w:val="052B0AE8"/>
    <w:rsid w:val="05567798"/>
    <w:rsid w:val="05F45AA9"/>
    <w:rsid w:val="06B00B0B"/>
    <w:rsid w:val="06DD4404"/>
    <w:rsid w:val="077F522A"/>
    <w:rsid w:val="07C83A98"/>
    <w:rsid w:val="07CE7E8D"/>
    <w:rsid w:val="0B8D1370"/>
    <w:rsid w:val="0BC71C8C"/>
    <w:rsid w:val="0BF2662E"/>
    <w:rsid w:val="0C0B2FD3"/>
    <w:rsid w:val="0CD97CF4"/>
    <w:rsid w:val="0F4F6777"/>
    <w:rsid w:val="1064307E"/>
    <w:rsid w:val="10672059"/>
    <w:rsid w:val="106C548D"/>
    <w:rsid w:val="1104196E"/>
    <w:rsid w:val="11356FC1"/>
    <w:rsid w:val="116D14FA"/>
    <w:rsid w:val="12412742"/>
    <w:rsid w:val="13BC48BE"/>
    <w:rsid w:val="1456226A"/>
    <w:rsid w:val="145C4F98"/>
    <w:rsid w:val="155A7C67"/>
    <w:rsid w:val="15ED5661"/>
    <w:rsid w:val="16D613E1"/>
    <w:rsid w:val="17207020"/>
    <w:rsid w:val="17525C70"/>
    <w:rsid w:val="18210DD4"/>
    <w:rsid w:val="188520C0"/>
    <w:rsid w:val="190B3989"/>
    <w:rsid w:val="1A3C444C"/>
    <w:rsid w:val="1A8A5926"/>
    <w:rsid w:val="1C2B1FA9"/>
    <w:rsid w:val="1CA82C1E"/>
    <w:rsid w:val="1EA0338F"/>
    <w:rsid w:val="21BE41E3"/>
    <w:rsid w:val="21C1303C"/>
    <w:rsid w:val="21E26C76"/>
    <w:rsid w:val="21E61A2C"/>
    <w:rsid w:val="226E0C23"/>
    <w:rsid w:val="22E47E30"/>
    <w:rsid w:val="233B1031"/>
    <w:rsid w:val="2357659F"/>
    <w:rsid w:val="237A4069"/>
    <w:rsid w:val="24BB5A96"/>
    <w:rsid w:val="252B4B2B"/>
    <w:rsid w:val="257B05B7"/>
    <w:rsid w:val="2623017C"/>
    <w:rsid w:val="26460486"/>
    <w:rsid w:val="26A07F3A"/>
    <w:rsid w:val="26BA550F"/>
    <w:rsid w:val="26C13BBB"/>
    <w:rsid w:val="2721444F"/>
    <w:rsid w:val="2782730B"/>
    <w:rsid w:val="286F75A3"/>
    <w:rsid w:val="28935120"/>
    <w:rsid w:val="2AEB6D8B"/>
    <w:rsid w:val="2C1A697F"/>
    <w:rsid w:val="2C6453D6"/>
    <w:rsid w:val="2D587BEE"/>
    <w:rsid w:val="2D9D7804"/>
    <w:rsid w:val="2DAF2DFB"/>
    <w:rsid w:val="2E713C7D"/>
    <w:rsid w:val="30045079"/>
    <w:rsid w:val="30635D57"/>
    <w:rsid w:val="30831F43"/>
    <w:rsid w:val="30C27650"/>
    <w:rsid w:val="311B7E7D"/>
    <w:rsid w:val="31666475"/>
    <w:rsid w:val="328653A7"/>
    <w:rsid w:val="32A1577A"/>
    <w:rsid w:val="358E794F"/>
    <w:rsid w:val="35B25FDB"/>
    <w:rsid w:val="36086B12"/>
    <w:rsid w:val="383E267D"/>
    <w:rsid w:val="390A6FEF"/>
    <w:rsid w:val="3B5D2595"/>
    <w:rsid w:val="3C274FC9"/>
    <w:rsid w:val="3C7157E9"/>
    <w:rsid w:val="3CA46DEF"/>
    <w:rsid w:val="3DC06423"/>
    <w:rsid w:val="3DDA468B"/>
    <w:rsid w:val="3F3F3914"/>
    <w:rsid w:val="3FB5425D"/>
    <w:rsid w:val="40781F16"/>
    <w:rsid w:val="417F018B"/>
    <w:rsid w:val="42B7439E"/>
    <w:rsid w:val="42BA0990"/>
    <w:rsid w:val="44397E26"/>
    <w:rsid w:val="45A4728F"/>
    <w:rsid w:val="46095E30"/>
    <w:rsid w:val="462E4BB9"/>
    <w:rsid w:val="468D3270"/>
    <w:rsid w:val="47292DC0"/>
    <w:rsid w:val="488132C7"/>
    <w:rsid w:val="4971286A"/>
    <w:rsid w:val="499951CC"/>
    <w:rsid w:val="4B8852FE"/>
    <w:rsid w:val="4CA6289C"/>
    <w:rsid w:val="4D5A6AD9"/>
    <w:rsid w:val="4D987CB9"/>
    <w:rsid w:val="4E527349"/>
    <w:rsid w:val="4F585FF1"/>
    <w:rsid w:val="4FA02727"/>
    <w:rsid w:val="511438DF"/>
    <w:rsid w:val="51C203E4"/>
    <w:rsid w:val="5276504A"/>
    <w:rsid w:val="52B77684"/>
    <w:rsid w:val="5421409F"/>
    <w:rsid w:val="55571296"/>
    <w:rsid w:val="55865F35"/>
    <w:rsid w:val="55A5547E"/>
    <w:rsid w:val="565A3957"/>
    <w:rsid w:val="568A5AC0"/>
    <w:rsid w:val="56C73BD3"/>
    <w:rsid w:val="57756892"/>
    <w:rsid w:val="57F1332C"/>
    <w:rsid w:val="58061EC2"/>
    <w:rsid w:val="59236EB2"/>
    <w:rsid w:val="593F7BCE"/>
    <w:rsid w:val="595A1A60"/>
    <w:rsid w:val="59BD150C"/>
    <w:rsid w:val="5A731E9B"/>
    <w:rsid w:val="5C1A24FF"/>
    <w:rsid w:val="5D313A79"/>
    <w:rsid w:val="5D614811"/>
    <w:rsid w:val="5DA250EE"/>
    <w:rsid w:val="5DAB3FE1"/>
    <w:rsid w:val="5FCF5AB7"/>
    <w:rsid w:val="60313743"/>
    <w:rsid w:val="60666970"/>
    <w:rsid w:val="607F3172"/>
    <w:rsid w:val="61096FFC"/>
    <w:rsid w:val="61F11F87"/>
    <w:rsid w:val="62871873"/>
    <w:rsid w:val="62A86D7E"/>
    <w:rsid w:val="632177F2"/>
    <w:rsid w:val="647362D6"/>
    <w:rsid w:val="6584470E"/>
    <w:rsid w:val="65AB7FC7"/>
    <w:rsid w:val="65D1798A"/>
    <w:rsid w:val="66306BDE"/>
    <w:rsid w:val="66C05BD0"/>
    <w:rsid w:val="6772212D"/>
    <w:rsid w:val="678271F5"/>
    <w:rsid w:val="68044820"/>
    <w:rsid w:val="682D4316"/>
    <w:rsid w:val="685A76E0"/>
    <w:rsid w:val="68BE46ED"/>
    <w:rsid w:val="69276348"/>
    <w:rsid w:val="6A524E7D"/>
    <w:rsid w:val="6AF757DA"/>
    <w:rsid w:val="6B3A7EDB"/>
    <w:rsid w:val="6B7D7909"/>
    <w:rsid w:val="6BEE42EF"/>
    <w:rsid w:val="6C1B4A25"/>
    <w:rsid w:val="6C312126"/>
    <w:rsid w:val="6CA5774E"/>
    <w:rsid w:val="6D6B6371"/>
    <w:rsid w:val="6E3F3DE5"/>
    <w:rsid w:val="6E754E82"/>
    <w:rsid w:val="6E994CD0"/>
    <w:rsid w:val="6FF52E22"/>
    <w:rsid w:val="703C7845"/>
    <w:rsid w:val="7160725D"/>
    <w:rsid w:val="724D7BC2"/>
    <w:rsid w:val="72655DF3"/>
    <w:rsid w:val="73E055E3"/>
    <w:rsid w:val="744578BE"/>
    <w:rsid w:val="74E942CE"/>
    <w:rsid w:val="758401A9"/>
    <w:rsid w:val="75887E06"/>
    <w:rsid w:val="75B007D2"/>
    <w:rsid w:val="75DE1139"/>
    <w:rsid w:val="78AA4C32"/>
    <w:rsid w:val="78ED285B"/>
    <w:rsid w:val="791D0BAD"/>
    <w:rsid w:val="799B00E2"/>
    <w:rsid w:val="7C9507B3"/>
    <w:rsid w:val="7C9E383B"/>
    <w:rsid w:val="7DC23D43"/>
    <w:rsid w:val="7DF765FF"/>
    <w:rsid w:val="7E500951"/>
    <w:rsid w:val="7E706C5E"/>
    <w:rsid w:val="7F423E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2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4">
    <w:name w:val="annotation text"/>
    <w:basedOn w:val="1"/>
    <w:link w:val="23"/>
    <w:semiHidden/>
    <w:unhideWhenUsed/>
    <w:qFormat/>
    <w:uiPriority w:val="99"/>
    <w:pPr>
      <w:jc w:val="left"/>
    </w:pPr>
  </w:style>
  <w:style w:type="paragraph" w:styleId="5">
    <w:name w:val="Balloon Text"/>
    <w:basedOn w:val="1"/>
    <w:link w:val="25"/>
    <w:semiHidden/>
    <w:unhideWhenUsed/>
    <w:qFormat/>
    <w:uiPriority w:val="99"/>
    <w:rPr>
      <w:sz w:val="18"/>
      <w:szCs w:val="18"/>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kern w:val="0"/>
      <w:sz w:val="24"/>
    </w:rPr>
  </w:style>
  <w:style w:type="paragraph" w:styleId="9">
    <w:name w:val="annotation subject"/>
    <w:basedOn w:val="4"/>
    <w:next w:val="4"/>
    <w:link w:val="24"/>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99"/>
    <w:rPr>
      <w:rFonts w:cs="Times New Roman"/>
      <w:b/>
    </w:rPr>
  </w:style>
  <w:style w:type="character" w:styleId="14">
    <w:name w:val="FollowedHyperlink"/>
    <w:basedOn w:val="12"/>
    <w:semiHidden/>
    <w:unhideWhenUsed/>
    <w:qFormat/>
    <w:uiPriority w:val="99"/>
    <w:rPr>
      <w:color w:val="666666"/>
      <w:u w:val="none"/>
    </w:rPr>
  </w:style>
  <w:style w:type="character" w:styleId="15">
    <w:name w:val="Emphasis"/>
    <w:basedOn w:val="12"/>
    <w:qFormat/>
    <w:uiPriority w:val="20"/>
  </w:style>
  <w:style w:type="character" w:styleId="16">
    <w:name w:val="HTML Definition"/>
    <w:basedOn w:val="12"/>
    <w:semiHidden/>
    <w:unhideWhenUsed/>
    <w:qFormat/>
    <w:uiPriority w:val="99"/>
    <w:rPr>
      <w:i/>
    </w:rPr>
  </w:style>
  <w:style w:type="character" w:styleId="17">
    <w:name w:val="Hyperlink"/>
    <w:basedOn w:val="12"/>
    <w:semiHidden/>
    <w:unhideWhenUsed/>
    <w:qFormat/>
    <w:uiPriority w:val="99"/>
    <w:rPr>
      <w:color w:val="666666"/>
      <w:u w:val="none"/>
    </w:rPr>
  </w:style>
  <w:style w:type="character" w:styleId="18">
    <w:name w:val="HTML Code"/>
    <w:basedOn w:val="12"/>
    <w:semiHidden/>
    <w:unhideWhenUsed/>
    <w:qFormat/>
    <w:uiPriority w:val="99"/>
    <w:rPr>
      <w:rFonts w:ascii="Consolas" w:hAnsi="Consolas" w:eastAsia="Consolas" w:cs="Consolas"/>
      <w:color w:val="CA4440"/>
      <w:sz w:val="21"/>
      <w:szCs w:val="21"/>
      <w:shd w:val="clear" w:fill="F9F2F4"/>
    </w:rPr>
  </w:style>
  <w:style w:type="character" w:styleId="19">
    <w:name w:val="annotation reference"/>
    <w:basedOn w:val="12"/>
    <w:semiHidden/>
    <w:unhideWhenUsed/>
    <w:qFormat/>
    <w:uiPriority w:val="99"/>
    <w:rPr>
      <w:sz w:val="21"/>
      <w:szCs w:val="21"/>
    </w:rPr>
  </w:style>
  <w:style w:type="character" w:styleId="20">
    <w:name w:val="HTML Keyboard"/>
    <w:basedOn w:val="12"/>
    <w:semiHidden/>
    <w:unhideWhenUsed/>
    <w:qFormat/>
    <w:uiPriority w:val="99"/>
    <w:rPr>
      <w:rFonts w:hint="default" w:ascii="Consolas" w:hAnsi="Consolas" w:eastAsia="Consolas" w:cs="Consolas"/>
      <w:color w:val="FFFFFF"/>
      <w:sz w:val="21"/>
      <w:szCs w:val="21"/>
      <w:shd w:val="clear" w:fill="333333"/>
    </w:rPr>
  </w:style>
  <w:style w:type="character" w:styleId="21">
    <w:name w:val="HTML Sample"/>
    <w:basedOn w:val="12"/>
    <w:semiHidden/>
    <w:unhideWhenUsed/>
    <w:qFormat/>
    <w:uiPriority w:val="99"/>
    <w:rPr>
      <w:rFonts w:hint="default" w:ascii="Consolas" w:hAnsi="Consolas" w:eastAsia="Consolas" w:cs="Consolas"/>
      <w:sz w:val="21"/>
      <w:szCs w:val="21"/>
    </w:rPr>
  </w:style>
  <w:style w:type="character" w:customStyle="1" w:styleId="22">
    <w:name w:val="标题 3 Char"/>
    <w:basedOn w:val="12"/>
    <w:link w:val="3"/>
    <w:qFormat/>
    <w:uiPriority w:val="9"/>
    <w:rPr>
      <w:rFonts w:ascii="宋体" w:hAnsi="宋体" w:eastAsia="宋体" w:cs="宋体"/>
      <w:b/>
      <w:bCs/>
      <w:kern w:val="0"/>
      <w:sz w:val="27"/>
      <w:szCs w:val="27"/>
    </w:rPr>
  </w:style>
  <w:style w:type="character" w:customStyle="1" w:styleId="23">
    <w:name w:val="批注文字 Char"/>
    <w:basedOn w:val="12"/>
    <w:link w:val="4"/>
    <w:semiHidden/>
    <w:qFormat/>
    <w:uiPriority w:val="99"/>
  </w:style>
  <w:style w:type="character" w:customStyle="1" w:styleId="24">
    <w:name w:val="批注主题 Char"/>
    <w:basedOn w:val="23"/>
    <w:link w:val="9"/>
    <w:semiHidden/>
    <w:qFormat/>
    <w:uiPriority w:val="99"/>
    <w:rPr>
      <w:b/>
      <w:bCs/>
    </w:rPr>
  </w:style>
  <w:style w:type="character" w:customStyle="1" w:styleId="25">
    <w:name w:val="批注框文本 Char"/>
    <w:basedOn w:val="12"/>
    <w:link w:val="5"/>
    <w:semiHidden/>
    <w:qFormat/>
    <w:uiPriority w:val="99"/>
    <w:rPr>
      <w:sz w:val="18"/>
      <w:szCs w:val="18"/>
    </w:rPr>
  </w:style>
  <w:style w:type="character" w:customStyle="1" w:styleId="26">
    <w:name w:val="font11"/>
    <w:basedOn w:val="12"/>
    <w:qFormat/>
    <w:uiPriority w:val="0"/>
    <w:rPr>
      <w:rFonts w:hint="eastAsia" w:ascii="宋体" w:hAnsi="宋体" w:eastAsia="宋体" w:cs="宋体"/>
      <w:color w:val="000000"/>
      <w:sz w:val="22"/>
      <w:szCs w:val="22"/>
      <w:u w:val="none"/>
    </w:rPr>
  </w:style>
  <w:style w:type="paragraph" w:customStyle="1" w:styleId="27">
    <w:name w:val="Style1"/>
    <w:basedOn w:val="1"/>
    <w:qFormat/>
    <w:uiPriority w:val="0"/>
    <w:pPr>
      <w:widowControl/>
      <w:tabs>
        <w:tab w:val="left" w:pos="-720"/>
      </w:tabs>
      <w:spacing w:after="120"/>
    </w:pPr>
    <w:rPr>
      <w:spacing w:val="-3"/>
      <w:kern w:val="0"/>
      <w:sz w:val="24"/>
      <w:szCs w:val="20"/>
      <w:lang w:val="en-AU" w:eastAsia="en-US"/>
    </w:rPr>
  </w:style>
  <w:style w:type="character" w:customStyle="1" w:styleId="28">
    <w:name w:val="active"/>
    <w:basedOn w:val="12"/>
    <w:qFormat/>
    <w:uiPriority w:val="0"/>
    <w:rPr>
      <w:shd w:val="clear" w:color="auto" w:fill="EC3535"/>
    </w:rPr>
  </w:style>
  <w:style w:type="character" w:customStyle="1" w:styleId="29">
    <w:name w:val="label10"/>
    <w:basedOn w:val="12"/>
    <w:qFormat/>
    <w:uiPriority w:val="0"/>
  </w:style>
  <w:style w:type="character" w:customStyle="1" w:styleId="30">
    <w:name w:val="label11"/>
    <w:basedOn w:val="12"/>
    <w:qFormat/>
    <w:uiPriority w:val="0"/>
    <w:rPr>
      <w:color w:val="1CC09F"/>
      <w:shd w:val="clear" w:fill="FFFFFF"/>
    </w:rPr>
  </w:style>
  <w:style w:type="character" w:customStyle="1" w:styleId="31">
    <w:name w:val="label12"/>
    <w:basedOn w:val="12"/>
    <w:qFormat/>
    <w:uiPriority w:val="0"/>
    <w:rPr>
      <w:color w:val="1AB394"/>
      <w:shd w:val="clear" w:fill="FFFFFF"/>
    </w:rPr>
  </w:style>
  <w:style w:type="character" w:customStyle="1" w:styleId="32">
    <w:name w:val="label13"/>
    <w:basedOn w:val="12"/>
    <w:qFormat/>
    <w:uiPriority w:val="0"/>
  </w:style>
  <w:style w:type="character" w:customStyle="1" w:styleId="33">
    <w:name w:val="navy"/>
    <w:basedOn w:val="12"/>
    <w:qFormat/>
    <w:uiPriority w:val="0"/>
    <w:rPr>
      <w:color w:val="1AB39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CEB522-9870-4E3A-9B2B-67A96EA9B4D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78</Pages>
  <Words>5859</Words>
  <Characters>33398</Characters>
  <Lines>278</Lines>
  <Paragraphs>78</Paragraphs>
  <TotalTime>26</TotalTime>
  <ScaleCrop>false</ScaleCrop>
  <LinksUpToDate>false</LinksUpToDate>
  <CharactersWithSpaces>39179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2020-12-22T04:33:00Z</dcterms:created>
  <dc:creator>Administrator</dc:creator>
  <cp:lastModifiedBy>Juan</cp:lastModifiedBy>
  <dcterms:modified xsi:type="dcterms:W3CDTF">2021-06-28T06:44:52Z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5F689AEF4EAC4CE495B583F9C942FA2E</vt:lpwstr>
  </property>
</Properties>
</file>